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5D" w:rsidRDefault="00FA3D02" w:rsidP="00753D5D">
      <w:r>
        <w:rPr>
          <w:rFonts w:hint="eastAsia"/>
        </w:rPr>
        <w:t>みえさんちの家　学習会</w:t>
      </w:r>
    </w:p>
    <w:p w:rsidR="00753D5D" w:rsidRDefault="00753D5D" w:rsidP="00753D5D"/>
    <w:p w:rsidR="00753D5D" w:rsidRDefault="00753D5D" w:rsidP="00753D5D">
      <w:pPr>
        <w:ind w:firstLineChars="300" w:firstLine="840"/>
      </w:pPr>
      <w:r w:rsidRPr="00753D5D">
        <w:rPr>
          <w:rFonts w:hint="eastAsia"/>
          <w:sz w:val="28"/>
          <w:szCs w:val="28"/>
        </w:rPr>
        <w:t xml:space="preserve">成年後見制度と権利擁護　</w:t>
      </w:r>
      <w:r>
        <w:rPr>
          <w:rFonts w:hint="eastAsia"/>
        </w:rPr>
        <w:t xml:space="preserve">　　　　　　　　　　　　　　　　</w:t>
      </w:r>
      <w:r w:rsidR="00FA3D02">
        <w:rPr>
          <w:rFonts w:hint="eastAsia"/>
        </w:rPr>
        <w:t>2022</w:t>
      </w:r>
      <w:r>
        <w:rPr>
          <w:rFonts w:hint="eastAsia"/>
        </w:rPr>
        <w:t>年</w:t>
      </w:r>
      <w:r w:rsidR="00AF3759">
        <w:rPr>
          <w:rFonts w:hint="eastAsia"/>
        </w:rPr>
        <w:t>1</w:t>
      </w:r>
      <w:r>
        <w:rPr>
          <w:rFonts w:hint="eastAsia"/>
        </w:rPr>
        <w:t>月</w:t>
      </w:r>
      <w:r w:rsidR="00AF3759">
        <w:rPr>
          <w:rFonts w:hint="eastAsia"/>
        </w:rPr>
        <w:t>2</w:t>
      </w:r>
      <w:r w:rsidR="00FA3D02">
        <w:rPr>
          <w:rFonts w:hint="eastAsia"/>
        </w:rPr>
        <w:t>1</w:t>
      </w:r>
      <w:r>
        <w:rPr>
          <w:rFonts w:hint="eastAsia"/>
        </w:rPr>
        <w:t>日</w:t>
      </w:r>
    </w:p>
    <w:p w:rsidR="00753D5D" w:rsidRDefault="00753D5D" w:rsidP="00753D5D">
      <w:r>
        <w:rPr>
          <w:rFonts w:hint="eastAsia"/>
        </w:rPr>
        <w:t xml:space="preserve">　　　　　　　　　　　　　　　　　　　　　　　　　　　　　　　　　　　　　　</w:t>
      </w:r>
      <w:r w:rsidR="00327FA8">
        <w:rPr>
          <w:rFonts w:hint="eastAsia"/>
        </w:rPr>
        <w:t xml:space="preserve">　　</w:t>
      </w:r>
      <w:r>
        <w:rPr>
          <w:rFonts w:hint="eastAsia"/>
        </w:rPr>
        <w:t>中島純男</w:t>
      </w:r>
    </w:p>
    <w:p w:rsidR="00FA3D02" w:rsidRDefault="00FA3D02" w:rsidP="00753D5D"/>
    <w:p w:rsidR="00AF3759" w:rsidRPr="00AF3759" w:rsidRDefault="00AF3759" w:rsidP="00AF3759">
      <w:pPr>
        <w:rPr>
          <w:rFonts w:ascii="HGS明朝E" w:eastAsia="HGS明朝E"/>
          <w:sz w:val="28"/>
          <w:szCs w:val="28"/>
        </w:rPr>
      </w:pPr>
      <w:r w:rsidRPr="00AF3759">
        <w:rPr>
          <w:rFonts w:ascii="HGS明朝B" w:eastAsia="HGS明朝B" w:hint="eastAsia"/>
          <w:sz w:val="28"/>
          <w:szCs w:val="28"/>
        </w:rPr>
        <w:t>1、</w:t>
      </w:r>
      <w:r w:rsidRPr="00AF3759">
        <w:rPr>
          <w:rFonts w:ascii="HGS明朝E" w:eastAsia="HGS明朝E" w:hint="eastAsia"/>
          <w:sz w:val="28"/>
          <w:szCs w:val="28"/>
        </w:rPr>
        <w:t>高齢者の実態、認知症の人</w:t>
      </w:r>
    </w:p>
    <w:p w:rsidR="00764664" w:rsidRPr="00764664" w:rsidRDefault="00C700FF" w:rsidP="00764664">
      <w:r>
        <w:rPr>
          <w:rFonts w:ascii="HGS明朝E" w:eastAsia="HGS明朝E" w:hint="eastAsia"/>
          <w:sz w:val="24"/>
          <w:szCs w:val="24"/>
        </w:rPr>
        <w:t xml:space="preserve">　※高齢者人口</w:t>
      </w:r>
      <w:r w:rsidR="00AF3759">
        <w:rPr>
          <w:rFonts w:ascii="HGS明朝E" w:eastAsia="HGS明朝E" w:hint="eastAsia"/>
          <w:sz w:val="24"/>
          <w:szCs w:val="24"/>
        </w:rPr>
        <w:t xml:space="preserve">　</w:t>
      </w:r>
      <w:r w:rsidR="00764664" w:rsidRPr="00764664">
        <w:t>高齢化社会</w:t>
      </w:r>
      <w:r w:rsidR="00764664" w:rsidRPr="00764664">
        <w:t> </w:t>
      </w:r>
      <w:r w:rsidR="00764664" w:rsidRPr="00764664">
        <w:t>高齢化率</w:t>
      </w:r>
      <w:r w:rsidR="00764664" w:rsidRPr="00764664">
        <w:t>7 - 14%</w:t>
      </w:r>
      <w:r w:rsidR="00764664">
        <w:t xml:space="preserve">　</w:t>
      </w:r>
      <w:r w:rsidR="00764664" w:rsidRPr="00764664">
        <w:t>高齢社会</w:t>
      </w:r>
      <w:r w:rsidR="00764664" w:rsidRPr="00764664">
        <w:t> </w:t>
      </w:r>
      <w:r w:rsidR="00764664" w:rsidRPr="00764664">
        <w:t>同</w:t>
      </w:r>
      <w:r w:rsidR="00764664" w:rsidRPr="00764664">
        <w:t>14 - 21%</w:t>
      </w:r>
      <w:r w:rsidR="00764664">
        <w:t xml:space="preserve">　</w:t>
      </w:r>
      <w:r w:rsidR="00764664" w:rsidRPr="00764664">
        <w:t>超高齢社会</w:t>
      </w:r>
      <w:r w:rsidR="00764664" w:rsidRPr="00764664">
        <w:t> </w:t>
      </w:r>
      <w:r w:rsidR="00764664" w:rsidRPr="00764664">
        <w:t>同</w:t>
      </w:r>
      <w:r w:rsidR="00764664" w:rsidRPr="00764664">
        <w:t>21% -</w:t>
      </w:r>
    </w:p>
    <w:tbl>
      <w:tblPr>
        <w:tblStyle w:val="a9"/>
        <w:tblW w:w="9355" w:type="dxa"/>
        <w:tblInd w:w="421" w:type="dxa"/>
        <w:tblLook w:val="04A0" w:firstRow="1" w:lastRow="0" w:firstColumn="1" w:lastColumn="0" w:noHBand="0" w:noVBand="1"/>
      </w:tblPr>
      <w:tblGrid>
        <w:gridCol w:w="2066"/>
        <w:gridCol w:w="1259"/>
        <w:gridCol w:w="1418"/>
        <w:gridCol w:w="1180"/>
        <w:gridCol w:w="3432"/>
      </w:tblGrid>
      <w:tr w:rsidR="00764664" w:rsidTr="00764664">
        <w:tc>
          <w:tcPr>
            <w:tcW w:w="2066" w:type="dxa"/>
          </w:tcPr>
          <w:p w:rsidR="00327FA8" w:rsidRPr="00764664" w:rsidRDefault="00C700FF" w:rsidP="00764664">
            <w:pPr>
              <w:jc w:val="center"/>
              <w:rPr>
                <w:rFonts w:asciiTheme="minorEastAsia" w:hAnsiTheme="minorEastAsia"/>
                <w:szCs w:val="21"/>
              </w:rPr>
            </w:pPr>
            <w:r w:rsidRPr="00764664">
              <w:rPr>
                <w:rFonts w:asciiTheme="minorEastAsia" w:hAnsiTheme="minorEastAsia"/>
                <w:szCs w:val="21"/>
              </w:rPr>
              <w:t>岡山県</w:t>
            </w:r>
          </w:p>
        </w:tc>
        <w:tc>
          <w:tcPr>
            <w:tcW w:w="1259" w:type="dxa"/>
          </w:tcPr>
          <w:p w:rsidR="00327FA8" w:rsidRPr="00764664" w:rsidRDefault="00CA4339" w:rsidP="00764664">
            <w:pPr>
              <w:jc w:val="center"/>
              <w:rPr>
                <w:rFonts w:asciiTheme="minorEastAsia" w:hAnsiTheme="minorEastAsia"/>
                <w:szCs w:val="21"/>
              </w:rPr>
            </w:pPr>
            <w:r w:rsidRPr="00764664">
              <w:rPr>
                <w:rFonts w:asciiTheme="minorEastAsia" w:hAnsiTheme="minorEastAsia"/>
                <w:szCs w:val="21"/>
              </w:rPr>
              <w:t>高齢者数</w:t>
            </w:r>
          </w:p>
        </w:tc>
        <w:tc>
          <w:tcPr>
            <w:tcW w:w="1418" w:type="dxa"/>
          </w:tcPr>
          <w:p w:rsidR="00327FA8" w:rsidRPr="00764664" w:rsidRDefault="00CA4339" w:rsidP="00764664">
            <w:pPr>
              <w:jc w:val="center"/>
              <w:rPr>
                <w:rFonts w:asciiTheme="minorEastAsia" w:hAnsiTheme="minorEastAsia"/>
                <w:szCs w:val="21"/>
              </w:rPr>
            </w:pPr>
            <w:r w:rsidRPr="00764664">
              <w:rPr>
                <w:rFonts w:asciiTheme="minorEastAsia" w:hAnsiTheme="minorEastAsia"/>
                <w:szCs w:val="21"/>
              </w:rPr>
              <w:t>総人口</w:t>
            </w:r>
          </w:p>
        </w:tc>
        <w:tc>
          <w:tcPr>
            <w:tcW w:w="1180" w:type="dxa"/>
          </w:tcPr>
          <w:p w:rsidR="00327FA8" w:rsidRPr="00764664" w:rsidRDefault="00CA4339" w:rsidP="00764664">
            <w:pPr>
              <w:jc w:val="center"/>
              <w:rPr>
                <w:rFonts w:asciiTheme="minorEastAsia" w:hAnsiTheme="minorEastAsia"/>
                <w:szCs w:val="21"/>
              </w:rPr>
            </w:pPr>
            <w:r w:rsidRPr="00764664">
              <w:rPr>
                <w:rFonts w:asciiTheme="minorEastAsia" w:hAnsiTheme="minorEastAsia"/>
                <w:szCs w:val="21"/>
              </w:rPr>
              <w:t>高齢化</w:t>
            </w:r>
            <w:r w:rsidR="00764664">
              <w:rPr>
                <w:rFonts w:asciiTheme="minorEastAsia" w:hAnsiTheme="minorEastAsia"/>
                <w:szCs w:val="21"/>
              </w:rPr>
              <w:t>率</w:t>
            </w:r>
          </w:p>
        </w:tc>
        <w:tc>
          <w:tcPr>
            <w:tcW w:w="3432" w:type="dxa"/>
          </w:tcPr>
          <w:p w:rsidR="00327FA8" w:rsidRPr="00764664" w:rsidRDefault="00C700FF" w:rsidP="00AF3759">
            <w:pPr>
              <w:rPr>
                <w:rFonts w:asciiTheme="minorEastAsia" w:hAnsiTheme="minorEastAsia"/>
                <w:szCs w:val="21"/>
              </w:rPr>
            </w:pPr>
            <w:r w:rsidRPr="00764664">
              <w:rPr>
                <w:rFonts w:asciiTheme="minorEastAsia" w:hAnsiTheme="minorEastAsia" w:hint="eastAsia"/>
                <w:szCs w:val="21"/>
              </w:rPr>
              <w:t>備考</w:t>
            </w:r>
          </w:p>
        </w:tc>
      </w:tr>
      <w:tr w:rsidR="00764664" w:rsidTr="00764664">
        <w:tc>
          <w:tcPr>
            <w:tcW w:w="2066" w:type="dxa"/>
          </w:tcPr>
          <w:p w:rsidR="00327FA8" w:rsidRPr="00764664" w:rsidRDefault="00CA4339" w:rsidP="00764664">
            <w:r w:rsidRPr="00764664">
              <w:t>1950.10.1</w:t>
            </w:r>
            <w:r w:rsidR="00764664">
              <w:t xml:space="preserve">　昭和</w:t>
            </w:r>
            <w:r w:rsidR="00764664">
              <w:t>25</w:t>
            </w:r>
          </w:p>
        </w:tc>
        <w:tc>
          <w:tcPr>
            <w:tcW w:w="1259" w:type="dxa"/>
          </w:tcPr>
          <w:p w:rsidR="00327FA8" w:rsidRPr="00764664" w:rsidRDefault="00CA4339" w:rsidP="00C700FF">
            <w:pPr>
              <w:jc w:val="right"/>
              <w:rPr>
                <w:rFonts w:asciiTheme="minorEastAsia" w:hAnsiTheme="minorEastAsia"/>
                <w:szCs w:val="21"/>
              </w:rPr>
            </w:pPr>
            <w:r w:rsidRPr="00764664">
              <w:rPr>
                <w:rFonts w:asciiTheme="minorEastAsia" w:hAnsiTheme="minorEastAsia"/>
                <w:szCs w:val="21"/>
              </w:rPr>
              <w:t>109,128</w:t>
            </w:r>
          </w:p>
        </w:tc>
        <w:tc>
          <w:tcPr>
            <w:tcW w:w="1418" w:type="dxa"/>
          </w:tcPr>
          <w:p w:rsidR="00327FA8" w:rsidRPr="00764664" w:rsidRDefault="00CA4339" w:rsidP="00C700FF">
            <w:pPr>
              <w:jc w:val="right"/>
              <w:rPr>
                <w:rFonts w:asciiTheme="minorEastAsia" w:hAnsiTheme="minorEastAsia"/>
                <w:szCs w:val="21"/>
              </w:rPr>
            </w:pPr>
            <w:r w:rsidRPr="00764664">
              <w:rPr>
                <w:rFonts w:asciiTheme="minorEastAsia" w:hAnsiTheme="minorEastAsia"/>
                <w:szCs w:val="21"/>
              </w:rPr>
              <w:t>1,659,508</w:t>
            </w:r>
          </w:p>
        </w:tc>
        <w:tc>
          <w:tcPr>
            <w:tcW w:w="1180" w:type="dxa"/>
          </w:tcPr>
          <w:p w:rsidR="00327FA8" w:rsidRPr="00764664" w:rsidRDefault="00CA4339" w:rsidP="00C700FF">
            <w:pPr>
              <w:jc w:val="right"/>
              <w:rPr>
                <w:rFonts w:asciiTheme="minorEastAsia" w:hAnsiTheme="minorEastAsia"/>
                <w:szCs w:val="21"/>
              </w:rPr>
            </w:pPr>
            <w:r w:rsidRPr="00764664">
              <w:rPr>
                <w:rFonts w:asciiTheme="minorEastAsia" w:hAnsiTheme="minorEastAsia"/>
                <w:szCs w:val="21"/>
              </w:rPr>
              <w:t>6.6</w:t>
            </w:r>
          </w:p>
        </w:tc>
        <w:tc>
          <w:tcPr>
            <w:tcW w:w="3432" w:type="dxa"/>
          </w:tcPr>
          <w:p w:rsidR="00327FA8" w:rsidRPr="00764664" w:rsidRDefault="00C700FF" w:rsidP="00764664">
            <w:pPr>
              <w:rPr>
                <w:rFonts w:asciiTheme="minorEastAsia" w:hAnsiTheme="minorEastAsia"/>
                <w:szCs w:val="21"/>
              </w:rPr>
            </w:pPr>
            <w:r w:rsidRPr="00764664">
              <w:rPr>
                <w:rFonts w:asciiTheme="minorEastAsia" w:hAnsiTheme="minorEastAsia"/>
                <w:szCs w:val="21"/>
              </w:rPr>
              <w:t>終戦から5年</w:t>
            </w:r>
            <w:r w:rsidR="00764664" w:rsidRPr="00764664">
              <w:rPr>
                <w:rFonts w:asciiTheme="minorEastAsia" w:hAnsiTheme="minorEastAsia"/>
                <w:szCs w:val="21"/>
              </w:rPr>
              <w:t xml:space="preserve">　</w:t>
            </w:r>
            <w:r w:rsidRPr="00764664">
              <w:rPr>
                <w:rFonts w:asciiTheme="minorEastAsia" w:hAnsiTheme="minorEastAsia"/>
                <w:szCs w:val="21"/>
              </w:rPr>
              <w:t>朝鮮戦争</w:t>
            </w:r>
            <w:r w:rsidR="00764664" w:rsidRPr="00764664">
              <w:rPr>
                <w:rFonts w:asciiTheme="minorEastAsia" w:hAnsiTheme="minorEastAsia"/>
                <w:szCs w:val="21"/>
              </w:rPr>
              <w:t>勃発</w:t>
            </w:r>
          </w:p>
        </w:tc>
      </w:tr>
      <w:tr w:rsidR="00764664" w:rsidTr="00764664">
        <w:tc>
          <w:tcPr>
            <w:tcW w:w="2066" w:type="dxa"/>
          </w:tcPr>
          <w:p w:rsidR="00327FA8" w:rsidRPr="00764664" w:rsidRDefault="00CA4339" w:rsidP="00764664">
            <w:r w:rsidRPr="00764664">
              <w:t>2000.10.1</w:t>
            </w:r>
            <w:r w:rsidR="00764664">
              <w:t xml:space="preserve">　平成</w:t>
            </w:r>
            <w:r w:rsidR="00764664">
              <w:t>12</w:t>
            </w:r>
          </w:p>
        </w:tc>
        <w:tc>
          <w:tcPr>
            <w:tcW w:w="1259" w:type="dxa"/>
          </w:tcPr>
          <w:p w:rsidR="00327FA8" w:rsidRPr="00764664" w:rsidRDefault="00CA4339" w:rsidP="00C700FF">
            <w:pPr>
              <w:jc w:val="right"/>
              <w:rPr>
                <w:rFonts w:asciiTheme="minorEastAsia" w:hAnsiTheme="minorEastAsia"/>
                <w:szCs w:val="21"/>
              </w:rPr>
            </w:pPr>
            <w:r w:rsidRPr="00764664">
              <w:rPr>
                <w:rFonts w:asciiTheme="minorEastAsia" w:hAnsiTheme="minorEastAsia"/>
                <w:szCs w:val="21"/>
              </w:rPr>
              <w:t>393</w:t>
            </w:r>
            <w:r w:rsidR="00C700FF" w:rsidRPr="00764664">
              <w:rPr>
                <w:rFonts w:asciiTheme="minorEastAsia" w:hAnsiTheme="minorEastAsia"/>
                <w:szCs w:val="21"/>
              </w:rPr>
              <w:t>,</w:t>
            </w:r>
            <w:r w:rsidRPr="00764664">
              <w:rPr>
                <w:rFonts w:asciiTheme="minorEastAsia" w:hAnsiTheme="minorEastAsia"/>
                <w:szCs w:val="21"/>
              </w:rPr>
              <w:t>658</w:t>
            </w:r>
          </w:p>
        </w:tc>
        <w:tc>
          <w:tcPr>
            <w:tcW w:w="1418" w:type="dxa"/>
          </w:tcPr>
          <w:p w:rsidR="00327FA8" w:rsidRPr="00764664" w:rsidRDefault="00CA4339" w:rsidP="00C700FF">
            <w:pPr>
              <w:jc w:val="right"/>
              <w:rPr>
                <w:rFonts w:asciiTheme="minorEastAsia" w:hAnsiTheme="minorEastAsia"/>
                <w:szCs w:val="21"/>
              </w:rPr>
            </w:pPr>
            <w:r w:rsidRPr="00764664">
              <w:rPr>
                <w:rFonts w:asciiTheme="minorEastAsia" w:hAnsiTheme="minorEastAsia"/>
                <w:szCs w:val="21"/>
              </w:rPr>
              <w:t>1</w:t>
            </w:r>
            <w:r w:rsidR="00C700FF" w:rsidRPr="00764664">
              <w:rPr>
                <w:rFonts w:asciiTheme="minorEastAsia" w:hAnsiTheme="minorEastAsia"/>
                <w:szCs w:val="21"/>
              </w:rPr>
              <w:t>,</w:t>
            </w:r>
            <w:r w:rsidRPr="00764664">
              <w:rPr>
                <w:rFonts w:asciiTheme="minorEastAsia" w:hAnsiTheme="minorEastAsia"/>
                <w:szCs w:val="21"/>
              </w:rPr>
              <w:t>950</w:t>
            </w:r>
            <w:r w:rsidR="00C700FF" w:rsidRPr="00764664">
              <w:rPr>
                <w:rFonts w:asciiTheme="minorEastAsia" w:hAnsiTheme="minorEastAsia"/>
                <w:szCs w:val="21"/>
              </w:rPr>
              <w:t>,</w:t>
            </w:r>
            <w:r w:rsidRPr="00764664">
              <w:rPr>
                <w:rFonts w:asciiTheme="minorEastAsia" w:hAnsiTheme="minorEastAsia"/>
                <w:szCs w:val="21"/>
              </w:rPr>
              <w:t>828</w:t>
            </w:r>
          </w:p>
        </w:tc>
        <w:tc>
          <w:tcPr>
            <w:tcW w:w="1180" w:type="dxa"/>
          </w:tcPr>
          <w:p w:rsidR="00327FA8" w:rsidRPr="00764664" w:rsidRDefault="00C700FF" w:rsidP="00C700FF">
            <w:pPr>
              <w:jc w:val="right"/>
              <w:rPr>
                <w:rFonts w:asciiTheme="minorEastAsia" w:hAnsiTheme="minorEastAsia"/>
                <w:szCs w:val="21"/>
              </w:rPr>
            </w:pPr>
            <w:r w:rsidRPr="00764664">
              <w:rPr>
                <w:rFonts w:asciiTheme="minorEastAsia" w:hAnsiTheme="minorEastAsia"/>
                <w:szCs w:val="21"/>
              </w:rPr>
              <w:t>20.2</w:t>
            </w:r>
          </w:p>
        </w:tc>
        <w:tc>
          <w:tcPr>
            <w:tcW w:w="3432" w:type="dxa"/>
          </w:tcPr>
          <w:p w:rsidR="00327FA8" w:rsidRPr="00764664" w:rsidRDefault="00C700FF" w:rsidP="00764664">
            <w:pPr>
              <w:rPr>
                <w:rFonts w:asciiTheme="minorEastAsia" w:hAnsiTheme="minorEastAsia"/>
                <w:szCs w:val="21"/>
              </w:rPr>
            </w:pPr>
            <w:r w:rsidRPr="00764664">
              <w:rPr>
                <w:rFonts w:asciiTheme="minorEastAsia" w:hAnsiTheme="minorEastAsia"/>
                <w:szCs w:val="21"/>
              </w:rPr>
              <w:t>20世紀最後の年　介護保険導入</w:t>
            </w:r>
          </w:p>
        </w:tc>
      </w:tr>
      <w:tr w:rsidR="00764664" w:rsidTr="00764664">
        <w:tc>
          <w:tcPr>
            <w:tcW w:w="2066" w:type="dxa"/>
          </w:tcPr>
          <w:p w:rsidR="00327FA8" w:rsidRPr="00764664" w:rsidRDefault="00C700FF" w:rsidP="00764664">
            <w:r w:rsidRPr="00764664">
              <w:t>2020.10.1</w:t>
            </w:r>
            <w:r w:rsidR="00764664">
              <w:t xml:space="preserve">　令和</w:t>
            </w:r>
            <w:r w:rsidR="00764664">
              <w:t>2</w:t>
            </w:r>
          </w:p>
        </w:tc>
        <w:tc>
          <w:tcPr>
            <w:tcW w:w="1259" w:type="dxa"/>
          </w:tcPr>
          <w:p w:rsidR="00327FA8" w:rsidRPr="00764664" w:rsidRDefault="00C700FF" w:rsidP="00C700FF">
            <w:pPr>
              <w:jc w:val="right"/>
              <w:rPr>
                <w:rFonts w:asciiTheme="minorEastAsia" w:hAnsiTheme="minorEastAsia"/>
                <w:szCs w:val="21"/>
              </w:rPr>
            </w:pPr>
            <w:r w:rsidRPr="00764664">
              <w:rPr>
                <w:rFonts w:asciiTheme="minorEastAsia" w:hAnsiTheme="minorEastAsia"/>
                <w:szCs w:val="21"/>
              </w:rPr>
              <w:t>563,492</w:t>
            </w:r>
          </w:p>
        </w:tc>
        <w:tc>
          <w:tcPr>
            <w:tcW w:w="1418" w:type="dxa"/>
          </w:tcPr>
          <w:p w:rsidR="00327FA8" w:rsidRPr="00764664" w:rsidRDefault="00C700FF" w:rsidP="00C700FF">
            <w:pPr>
              <w:jc w:val="right"/>
              <w:rPr>
                <w:rFonts w:asciiTheme="minorEastAsia" w:hAnsiTheme="minorEastAsia"/>
                <w:szCs w:val="21"/>
              </w:rPr>
            </w:pPr>
            <w:r w:rsidRPr="00764664">
              <w:rPr>
                <w:rFonts w:asciiTheme="minorEastAsia" w:hAnsiTheme="minorEastAsia"/>
                <w:szCs w:val="21"/>
              </w:rPr>
              <w:t>1,882</w:t>
            </w:r>
            <w:r w:rsidRPr="00764664">
              <w:rPr>
                <w:rFonts w:asciiTheme="minorEastAsia" w:hAnsiTheme="minorEastAsia" w:hint="eastAsia"/>
                <w:szCs w:val="21"/>
              </w:rPr>
              <w:t>,</w:t>
            </w:r>
            <w:r w:rsidRPr="00764664">
              <w:rPr>
                <w:rFonts w:asciiTheme="minorEastAsia" w:hAnsiTheme="minorEastAsia"/>
                <w:szCs w:val="21"/>
              </w:rPr>
              <w:t>356</w:t>
            </w:r>
          </w:p>
        </w:tc>
        <w:tc>
          <w:tcPr>
            <w:tcW w:w="1180" w:type="dxa"/>
          </w:tcPr>
          <w:p w:rsidR="00327FA8" w:rsidRPr="00764664" w:rsidRDefault="00C700FF" w:rsidP="00C700FF">
            <w:pPr>
              <w:jc w:val="right"/>
              <w:rPr>
                <w:rFonts w:asciiTheme="minorEastAsia" w:hAnsiTheme="minorEastAsia"/>
                <w:szCs w:val="21"/>
              </w:rPr>
            </w:pPr>
            <w:r w:rsidRPr="00764664">
              <w:rPr>
                <w:rFonts w:asciiTheme="minorEastAsia" w:hAnsiTheme="minorEastAsia"/>
                <w:szCs w:val="21"/>
              </w:rPr>
              <w:t>30.5</w:t>
            </w:r>
          </w:p>
        </w:tc>
        <w:tc>
          <w:tcPr>
            <w:tcW w:w="3432" w:type="dxa"/>
          </w:tcPr>
          <w:p w:rsidR="00327FA8" w:rsidRPr="00764664" w:rsidRDefault="00764664" w:rsidP="00AF3759">
            <w:pPr>
              <w:rPr>
                <w:rFonts w:asciiTheme="minorEastAsia" w:hAnsiTheme="minorEastAsia"/>
                <w:szCs w:val="21"/>
              </w:rPr>
            </w:pPr>
            <w:r>
              <w:rPr>
                <w:rFonts w:asciiTheme="minorEastAsia" w:hAnsiTheme="minorEastAsia"/>
                <w:szCs w:val="21"/>
              </w:rPr>
              <w:t>介護保険20年</w:t>
            </w:r>
          </w:p>
        </w:tc>
      </w:tr>
    </w:tbl>
    <w:p w:rsidR="00DA45DF" w:rsidRPr="00F809A5" w:rsidRDefault="00764664" w:rsidP="00AF3759">
      <w:pPr>
        <w:rPr>
          <w:rFonts w:asciiTheme="minorEastAsia" w:hAnsiTheme="minorEastAsia"/>
          <w:sz w:val="20"/>
          <w:szCs w:val="20"/>
        </w:rPr>
      </w:pPr>
      <w:r>
        <w:rPr>
          <w:rFonts w:ascii="HGS明朝E" w:eastAsia="HGS明朝E"/>
          <w:sz w:val="24"/>
          <w:szCs w:val="24"/>
        </w:rPr>
        <w:t xml:space="preserve">　</w:t>
      </w:r>
      <w:r w:rsidR="00DA45DF">
        <w:rPr>
          <w:rFonts w:ascii="HGS明朝E" w:eastAsia="HGS明朝E"/>
          <w:sz w:val="24"/>
          <w:szCs w:val="24"/>
        </w:rPr>
        <w:t xml:space="preserve">　</w:t>
      </w:r>
      <w:r w:rsidR="00DA45DF" w:rsidRPr="00DA45DF">
        <w:rPr>
          <w:rFonts w:asciiTheme="minorEastAsia" w:hAnsiTheme="minorEastAsia"/>
          <w:sz w:val="20"/>
          <w:szCs w:val="20"/>
        </w:rPr>
        <w:t xml:space="preserve">　</w:t>
      </w:r>
      <w:r w:rsidR="00DA45DF" w:rsidRPr="00F809A5">
        <w:rPr>
          <w:rFonts w:asciiTheme="minorEastAsia" w:hAnsiTheme="minorEastAsia"/>
          <w:sz w:val="20"/>
          <w:szCs w:val="20"/>
        </w:rPr>
        <w:t>同年、　全国　　　　　3619万人　　12588万人　　　　28.7</w:t>
      </w:r>
    </w:p>
    <w:p w:rsidR="00327FA8" w:rsidRDefault="006C4D0F" w:rsidP="009C7204">
      <w:pPr>
        <w:ind w:firstLineChars="100" w:firstLine="240"/>
        <w:rPr>
          <w:rFonts w:ascii="ＭＳ 明朝" w:hAnsi="ＭＳ 明朝"/>
          <w:szCs w:val="21"/>
        </w:rPr>
      </w:pPr>
      <w:r w:rsidRPr="006C4D0F">
        <w:rPr>
          <w:rFonts w:ascii="HGS明朝E" w:eastAsia="HGS明朝E" w:hAnsi="HGS明朝E" w:cs="ＭＳ 明朝"/>
          <w:sz w:val="24"/>
          <w:szCs w:val="24"/>
        </w:rPr>
        <w:t>※認知症の人</w:t>
      </w:r>
      <w:r w:rsidR="00AF3759" w:rsidRPr="006312D0">
        <w:rPr>
          <w:rFonts w:ascii="ＭＳ 明朝" w:hAnsi="ＭＳ 明朝" w:hint="eastAsia"/>
          <w:szCs w:val="21"/>
        </w:rPr>
        <w:t xml:space="preserve">　　　　　　　</w:t>
      </w:r>
    </w:p>
    <w:p w:rsidR="0040461F" w:rsidRDefault="006C4D0F" w:rsidP="0040461F">
      <w:pPr>
        <w:ind w:firstLineChars="200" w:firstLine="420"/>
        <w:rPr>
          <w:rFonts w:ascii="ＭＳ 明朝" w:hAnsi="ＭＳ 明朝"/>
          <w:szCs w:val="21"/>
        </w:rPr>
      </w:pPr>
      <w:r w:rsidRPr="006C4D0F">
        <w:rPr>
          <w:rFonts w:ascii="ＭＳ 明朝" w:hAnsi="ＭＳ 明朝" w:hint="eastAsia"/>
          <w:szCs w:val="21"/>
        </w:rPr>
        <w:t>平成28年度の要支援・要介護認定結果によると、本県の認知症の人の数は約6万6千人</w:t>
      </w:r>
      <w:r w:rsidR="0040461F">
        <w:rPr>
          <w:rFonts w:ascii="ＭＳ 明朝" w:hAnsi="ＭＳ 明朝" w:hint="eastAsia"/>
          <w:szCs w:val="21"/>
        </w:rPr>
        <w:t>(高齢者全</w:t>
      </w:r>
    </w:p>
    <w:p w:rsidR="00327FA8" w:rsidRPr="006C4D0F" w:rsidRDefault="0040461F" w:rsidP="0040461F">
      <w:pPr>
        <w:ind w:firstLineChars="200" w:firstLine="420"/>
        <w:rPr>
          <w:rFonts w:ascii="ＭＳ 明朝" w:hAnsi="ＭＳ 明朝"/>
          <w:szCs w:val="21"/>
        </w:rPr>
      </w:pPr>
      <w:r>
        <w:rPr>
          <w:rFonts w:ascii="ＭＳ 明朝" w:hAnsi="ＭＳ 明朝" w:hint="eastAsia"/>
          <w:szCs w:val="21"/>
        </w:rPr>
        <w:t>体の約12%)</w:t>
      </w:r>
      <w:r w:rsidR="006C4D0F" w:rsidRPr="006C4D0F">
        <w:rPr>
          <w:rFonts w:ascii="ＭＳ 明朝" w:hAnsi="ＭＳ 明朝" w:hint="eastAsia"/>
          <w:szCs w:val="21"/>
        </w:rPr>
        <w:t>と推計されます。令和7年度には約7万9千人になると見込まれます。</w:t>
      </w:r>
    </w:p>
    <w:p w:rsidR="00327FA8" w:rsidRDefault="00327FA8" w:rsidP="00AF3759">
      <w:pPr>
        <w:rPr>
          <w:rFonts w:ascii="ＭＳ 明朝" w:hAnsi="ＭＳ 明朝"/>
          <w:szCs w:val="21"/>
        </w:rPr>
      </w:pPr>
    </w:p>
    <w:p w:rsidR="00AF3759" w:rsidRPr="00327FA8" w:rsidRDefault="00AF3759" w:rsidP="00AF3759">
      <w:pPr>
        <w:rPr>
          <w:rFonts w:ascii="HGS明朝E" w:eastAsia="HGS明朝E"/>
          <w:sz w:val="28"/>
          <w:szCs w:val="28"/>
        </w:rPr>
      </w:pPr>
      <w:r w:rsidRPr="00327FA8">
        <w:rPr>
          <w:rFonts w:ascii="HGS明朝E" w:eastAsia="HGS明朝E" w:hint="eastAsia"/>
          <w:sz w:val="28"/>
          <w:szCs w:val="28"/>
        </w:rPr>
        <w:t>2、権利擁護支援について</w:t>
      </w:r>
    </w:p>
    <w:p w:rsidR="00AF3759" w:rsidRDefault="00AF3759" w:rsidP="00AF3759">
      <w:pPr>
        <w:ind w:left="210"/>
      </w:pPr>
      <w:r>
        <w:rPr>
          <w:rFonts w:hint="eastAsia"/>
        </w:rPr>
        <w:t>・消費者被害などの「権利侵害からの救済・保護」</w:t>
      </w:r>
    </w:p>
    <w:p w:rsidR="00AF3759" w:rsidRDefault="00AF3759" w:rsidP="00AF3759">
      <w:pPr>
        <w:ind w:firstLineChars="100" w:firstLine="210"/>
      </w:pPr>
      <w:r>
        <w:rPr>
          <w:rFonts w:hint="eastAsia"/>
        </w:rPr>
        <w:t>・本来認められているはずの権利行使ができなかった人への「権利行使の保障」の支援</w:t>
      </w:r>
    </w:p>
    <w:p w:rsidR="00AF3759" w:rsidRDefault="00AF3759" w:rsidP="00AF3759">
      <w:pPr>
        <w:ind w:firstLineChars="100" w:firstLine="210"/>
      </w:pPr>
      <w:r>
        <w:rPr>
          <w:rFonts w:hint="eastAsia"/>
        </w:rPr>
        <w:t>・法律や制度としての位置付けがなされていない場合の「新たな権利の創造」の支援</w:t>
      </w:r>
    </w:p>
    <w:p w:rsidR="00AF3759" w:rsidRDefault="00AF3759" w:rsidP="00AF3759">
      <w:pPr>
        <w:ind w:firstLineChars="300" w:firstLine="630"/>
      </w:pPr>
      <w:r>
        <w:rPr>
          <w:rFonts w:hint="eastAsia"/>
        </w:rPr>
        <w:t>具体的には</w:t>
      </w:r>
    </w:p>
    <w:p w:rsidR="00AF3759" w:rsidRDefault="00AF3759" w:rsidP="00AF3759">
      <w:pPr>
        <w:ind w:firstLineChars="100" w:firstLine="210"/>
      </w:pPr>
      <w:r>
        <w:rPr>
          <w:rFonts w:hint="eastAsia"/>
        </w:rPr>
        <w:t>・本人支援</w:t>
      </w:r>
    </w:p>
    <w:p w:rsidR="00DA45DF" w:rsidRDefault="00AF3759" w:rsidP="00AF3759">
      <w:pPr>
        <w:ind w:leftChars="200" w:left="630" w:hangingChars="100" w:hanging="210"/>
      </w:pPr>
      <w:r>
        <w:rPr>
          <w:rFonts w:hint="eastAsia"/>
        </w:rPr>
        <w:t>自分らしく生きることができるように、障害や疾病で損なわれた社会的主体者としての立場を回復</w:t>
      </w:r>
    </w:p>
    <w:p w:rsidR="00DA45DF" w:rsidRDefault="00AF3759" w:rsidP="00AF3759">
      <w:pPr>
        <w:ind w:leftChars="200" w:left="630" w:hangingChars="100" w:hanging="210"/>
      </w:pPr>
      <w:r>
        <w:rPr>
          <w:rFonts w:hint="eastAsia"/>
        </w:rPr>
        <w:t>することへの支援、自己決定の支援・相談支援・障害認知受容などをとおして社会的関係性の維持</w:t>
      </w:r>
    </w:p>
    <w:p w:rsidR="00AF3759" w:rsidRDefault="00AF3759" w:rsidP="00AF3759">
      <w:pPr>
        <w:ind w:leftChars="200" w:left="630" w:hangingChars="100" w:hanging="210"/>
      </w:pPr>
      <w:r>
        <w:rPr>
          <w:rFonts w:hint="eastAsia"/>
        </w:rPr>
        <w:t>とコミュニケーションの保障、など</w:t>
      </w:r>
    </w:p>
    <w:p w:rsidR="00AF3759" w:rsidRDefault="00AF3759" w:rsidP="00AF3759">
      <w:r>
        <w:rPr>
          <w:rFonts w:hint="eastAsia"/>
        </w:rPr>
        <w:t xml:space="preserve">　・生活支援</w:t>
      </w:r>
    </w:p>
    <w:p w:rsidR="00DA45DF" w:rsidRDefault="00DA45DF" w:rsidP="00AF3759">
      <w:pPr>
        <w:ind w:left="630" w:hangingChars="300" w:hanging="630"/>
      </w:pPr>
      <w:r>
        <w:rPr>
          <w:rFonts w:hint="eastAsia"/>
        </w:rPr>
        <w:t xml:space="preserve">　　</w:t>
      </w:r>
      <w:r w:rsidR="00AF3759">
        <w:rPr>
          <w:rFonts w:hint="eastAsia"/>
        </w:rPr>
        <w:t>各種福祉サービスを受けること、経済的基盤の確立、医療・介護サービスの確保、見守り支援など</w:t>
      </w:r>
    </w:p>
    <w:p w:rsidR="00AF3759" w:rsidRDefault="00AF3759" w:rsidP="00DA45DF">
      <w:pPr>
        <w:ind w:firstLineChars="200" w:firstLine="420"/>
      </w:pPr>
      <w:r>
        <w:rPr>
          <w:rFonts w:hint="eastAsia"/>
        </w:rPr>
        <w:t>をつうじて、地域生活を実現</w:t>
      </w:r>
    </w:p>
    <w:p w:rsidR="00AF3759" w:rsidRDefault="00AF3759" w:rsidP="00AF3759">
      <w:r>
        <w:rPr>
          <w:rFonts w:hint="eastAsia"/>
        </w:rPr>
        <w:t xml:space="preserve">　・法的支援</w:t>
      </w:r>
    </w:p>
    <w:p w:rsidR="00DA45DF" w:rsidRDefault="00AF3759" w:rsidP="00AF3759">
      <w:pPr>
        <w:ind w:leftChars="200" w:left="630" w:hangingChars="100" w:hanging="210"/>
      </w:pPr>
      <w:r>
        <w:rPr>
          <w:rFonts w:hint="eastAsia"/>
        </w:rPr>
        <w:t>各種契約への対応、債務整理、財産管理、成年後見制度利用、確立されていない権利でも当然認め</w:t>
      </w:r>
    </w:p>
    <w:p w:rsidR="00AF3759" w:rsidRPr="0017445C" w:rsidRDefault="00AF3759" w:rsidP="00AF3759">
      <w:pPr>
        <w:ind w:leftChars="200" w:left="630" w:hangingChars="100" w:hanging="210"/>
      </w:pPr>
      <w:r>
        <w:rPr>
          <w:rFonts w:hint="eastAsia"/>
        </w:rPr>
        <w:t>られることの制度構築など</w:t>
      </w:r>
    </w:p>
    <w:p w:rsidR="00AF3759" w:rsidRPr="00A1777A" w:rsidRDefault="00AF3759" w:rsidP="00AF3759">
      <w:pPr>
        <w:ind w:firstLineChars="100" w:firstLine="210"/>
        <w:rPr>
          <w:rFonts w:ascii="HGS明朝E" w:eastAsia="HGS明朝E"/>
          <w:sz w:val="24"/>
          <w:szCs w:val="24"/>
        </w:rPr>
      </w:pPr>
      <w:r>
        <w:rPr>
          <w:rFonts w:hint="eastAsia"/>
        </w:rPr>
        <w:t xml:space="preserve">　　　　　　　　　　　　　　　　　　　　</w:t>
      </w:r>
    </w:p>
    <w:p w:rsidR="00AF3759" w:rsidRPr="006C4D0F" w:rsidRDefault="00AF3759" w:rsidP="00AF3759">
      <w:pPr>
        <w:rPr>
          <w:rFonts w:ascii="HGS明朝E" w:eastAsia="HGS明朝E"/>
          <w:sz w:val="28"/>
          <w:szCs w:val="28"/>
        </w:rPr>
      </w:pPr>
      <w:r w:rsidRPr="006C4D0F">
        <w:rPr>
          <w:rFonts w:ascii="HGS明朝E" w:eastAsia="HGS明朝E" w:hint="eastAsia"/>
          <w:sz w:val="28"/>
          <w:szCs w:val="28"/>
        </w:rPr>
        <w:t>3、成年後見制度は</w:t>
      </w:r>
    </w:p>
    <w:p w:rsidR="00AF3759" w:rsidRDefault="00AF3759" w:rsidP="00AF3759">
      <w:pPr>
        <w:ind w:firstLineChars="100" w:firstLine="210"/>
      </w:pPr>
      <w:r>
        <w:rPr>
          <w:rFonts w:hint="eastAsia"/>
        </w:rPr>
        <w:t>現行の</w:t>
      </w:r>
      <w:r w:rsidRPr="006E2CC6">
        <w:rPr>
          <w:rFonts w:hint="eastAsia"/>
        </w:rPr>
        <w:t>成年後見制度は、高齢</w:t>
      </w:r>
      <w:r>
        <w:rPr>
          <w:rFonts w:hint="eastAsia"/>
        </w:rPr>
        <w:t>化社会への対応及び障害</w:t>
      </w:r>
      <w:r w:rsidRPr="006E2CC6">
        <w:rPr>
          <w:rFonts w:hint="eastAsia"/>
        </w:rPr>
        <w:t>者福祉の充実の観点から、判断能力の不十分な高齢者や</w:t>
      </w:r>
      <w:r>
        <w:rPr>
          <w:rFonts w:hint="eastAsia"/>
        </w:rPr>
        <w:t>障害</w:t>
      </w:r>
      <w:r w:rsidRPr="006E2CC6">
        <w:rPr>
          <w:rFonts w:hint="eastAsia"/>
        </w:rPr>
        <w:t>者等を保護し、支援するために</w:t>
      </w:r>
      <w:r w:rsidRPr="00020859">
        <w:rPr>
          <w:rFonts w:hint="eastAsia"/>
          <w:b/>
        </w:rPr>
        <w:t>「自己決定の尊重」</w:t>
      </w:r>
      <w:r>
        <w:rPr>
          <w:rFonts w:hint="eastAsia"/>
          <w:b/>
        </w:rPr>
        <w:t>、</w:t>
      </w:r>
      <w:r w:rsidRPr="00020859">
        <w:rPr>
          <w:rFonts w:hint="eastAsia"/>
          <w:b/>
        </w:rPr>
        <w:t>「残存能力の活用」</w:t>
      </w:r>
      <w:r>
        <w:rPr>
          <w:rFonts w:hint="eastAsia"/>
          <w:b/>
        </w:rPr>
        <w:t>、</w:t>
      </w:r>
      <w:r w:rsidRPr="00020859">
        <w:rPr>
          <w:rFonts w:hint="eastAsia"/>
          <w:b/>
        </w:rPr>
        <w:t>「ノーマライゼーション」の三つの基本理念</w:t>
      </w:r>
      <w:r w:rsidRPr="006E2CC6">
        <w:rPr>
          <w:rFonts w:hint="eastAsia"/>
        </w:rPr>
        <w:t>と、「本人保護」の理念との調和を</w:t>
      </w:r>
      <w:r>
        <w:rPr>
          <w:rFonts w:hint="eastAsia"/>
        </w:rPr>
        <w:t>図ることを趣旨としています。</w:t>
      </w:r>
    </w:p>
    <w:p w:rsidR="00B71E51" w:rsidRDefault="00B71E51" w:rsidP="00B71E51"/>
    <w:p w:rsidR="00A56C59" w:rsidRDefault="00A56C59" w:rsidP="00B71E51">
      <w:r>
        <w:rPr>
          <w:rFonts w:hint="eastAsia"/>
        </w:rPr>
        <w:t>【後見】</w:t>
      </w:r>
    </w:p>
    <w:p w:rsidR="00A56C59" w:rsidRDefault="00A56C59" w:rsidP="00A56C59">
      <w:pPr>
        <w:ind w:firstLineChars="100" w:firstLine="210"/>
      </w:pPr>
      <w:r>
        <w:rPr>
          <w:rFonts w:hint="eastAsia"/>
        </w:rPr>
        <w:t>・老人性の認知症により</w:t>
      </w:r>
      <w:r w:rsidRPr="00A56C59">
        <w:rPr>
          <w:rFonts w:hint="eastAsia"/>
          <w:u w:val="single"/>
        </w:rPr>
        <w:t>判断能力を失った方</w:t>
      </w:r>
      <w:r>
        <w:rPr>
          <w:rFonts w:hint="eastAsia"/>
        </w:rPr>
        <w:t>のために，介護の契約を結んだり，財産を管理したりす</w:t>
      </w:r>
      <w:r>
        <w:rPr>
          <w:rFonts w:hint="eastAsia"/>
        </w:rPr>
        <w:lastRenderedPageBreak/>
        <w:t>る必要があるときに，家庭裁判所に後見開始の審判の申立てをし，選任された成年後見人にそうした契約や財産管理をしてもらう。</w:t>
      </w:r>
    </w:p>
    <w:p w:rsidR="00A56C59" w:rsidRDefault="00A56C59" w:rsidP="00A56C59">
      <w:pPr>
        <w:ind w:firstLineChars="100" w:firstLine="210"/>
      </w:pPr>
      <w:r>
        <w:rPr>
          <w:rFonts w:hint="eastAsia"/>
        </w:rPr>
        <w:t>・交通事故により</w:t>
      </w:r>
      <w:r w:rsidRPr="00A56C59">
        <w:rPr>
          <w:rFonts w:hint="eastAsia"/>
          <w:u w:val="single"/>
        </w:rPr>
        <w:t>判断能力を失った方</w:t>
      </w:r>
      <w:r>
        <w:rPr>
          <w:rFonts w:hint="eastAsia"/>
        </w:rPr>
        <w:t>に代わって，その方のために，保険金（損害賠償）を請求する必要があるときに，家庭裁判所に後見開始の審判の申立てをし，選任された成年後見人に，本人の代理人として請求してもらう。</w:t>
      </w:r>
    </w:p>
    <w:p w:rsidR="00B71E51" w:rsidRDefault="00B71E51" w:rsidP="00B71E51"/>
    <w:p w:rsidR="00A56C59" w:rsidRDefault="00A56C59" w:rsidP="00B71E51">
      <w:r>
        <w:rPr>
          <w:rFonts w:hint="eastAsia"/>
        </w:rPr>
        <w:t>【保佐】</w:t>
      </w:r>
    </w:p>
    <w:p w:rsidR="00A56C59" w:rsidRDefault="00A56C59" w:rsidP="00A56C59">
      <w:pPr>
        <w:ind w:firstLineChars="100" w:firstLine="210"/>
      </w:pPr>
      <w:r>
        <w:rPr>
          <w:rFonts w:hint="eastAsia"/>
        </w:rPr>
        <w:t>・老人性の認知症のため</w:t>
      </w:r>
      <w:r w:rsidRPr="00A56C59">
        <w:rPr>
          <w:rFonts w:hint="eastAsia"/>
          <w:u w:val="single"/>
        </w:rPr>
        <w:t>判断能力が著しく不十分な方に</w:t>
      </w:r>
      <w:r>
        <w:rPr>
          <w:rFonts w:hint="eastAsia"/>
        </w:rPr>
        <w:t>ついて，介護サービス利用契約を結んで適切な介護を受けられるようにする必要があるときに，家庭裁判所に保佐開始の審判の申立てをし，同時に，介護契約を本人に代わって保佐人にしてもらう権限（代理権）を与えるとの審判の申立てをして，選任された保佐人に手続をしてもらう。</w:t>
      </w:r>
    </w:p>
    <w:p w:rsidR="00B71E51" w:rsidRDefault="00B71E51" w:rsidP="00B71E51"/>
    <w:p w:rsidR="00A56C59" w:rsidRDefault="00A56C59" w:rsidP="00B71E51">
      <w:r>
        <w:rPr>
          <w:rFonts w:hint="eastAsia"/>
        </w:rPr>
        <w:t>【補助】</w:t>
      </w:r>
    </w:p>
    <w:p w:rsidR="00A56C59" w:rsidRDefault="00A56C59" w:rsidP="00A56C59">
      <w:pPr>
        <w:ind w:firstLineChars="100" w:firstLine="210"/>
      </w:pPr>
      <w:r>
        <w:rPr>
          <w:rFonts w:hint="eastAsia"/>
        </w:rPr>
        <w:t>・認知症の症状が出て</w:t>
      </w:r>
      <w:r w:rsidRPr="00A56C59">
        <w:rPr>
          <w:rFonts w:hint="eastAsia"/>
          <w:u w:val="single"/>
        </w:rPr>
        <w:t>判断能力が低下している</w:t>
      </w:r>
      <w:r>
        <w:rPr>
          <w:rFonts w:hint="eastAsia"/>
        </w:rPr>
        <w:t>と医師に言われるなどして，一人で契約等をすることに不安があるときに，家庭裁判所に補助開始の審判の申立てをし，選任された補助人にサポートしてもらう。なお，誤った判断に基づいてしてしまった契約を取り消すことができるようにするためには同意権を与えるとの審判を，契約等を本人に代わって補助人に代理してやってもらうためには代理権を与えるとの審判を，それぞれどのようなことがらについてやってもらいたいかを特定したうえで，補助開始の審判の申立てにあわせて申し立てる必要があります。</w:t>
      </w:r>
    </w:p>
    <w:p w:rsidR="00A56C59" w:rsidRDefault="00A56C59" w:rsidP="00AF3759">
      <w:pPr>
        <w:ind w:firstLineChars="100" w:firstLine="210"/>
      </w:pPr>
    </w:p>
    <w:p w:rsidR="00AF3759" w:rsidRDefault="00AF3759" w:rsidP="00AF3759">
      <w:pPr>
        <w:ind w:firstLineChars="100" w:firstLine="210"/>
      </w:pPr>
    </w:p>
    <w:p w:rsidR="00AF3759" w:rsidRDefault="00AF3759" w:rsidP="00AF3759">
      <w:pPr>
        <w:ind w:firstLineChars="100" w:firstLine="211"/>
      </w:pPr>
      <w:r w:rsidRPr="00D30BC8">
        <w:rPr>
          <w:rFonts w:hint="eastAsia"/>
          <w:b/>
        </w:rPr>
        <w:t>任意後見制度は</w:t>
      </w:r>
      <w:r w:rsidRPr="006E2CC6">
        <w:rPr>
          <w:rFonts w:hint="eastAsia"/>
        </w:rPr>
        <w:t>、本人</w:t>
      </w:r>
      <w:r>
        <w:rPr>
          <w:rFonts w:hint="eastAsia"/>
        </w:rPr>
        <w:t>が契約に必要な判断能力を有しているうちに、受任者に対し、判断能力が不十分な状況における自己の生活、療養看護および財産の管理に関する事務の全部または一部を委託し、その委託に係る事務について代理権を付与する委任契約</w:t>
      </w:r>
      <w:r>
        <w:rPr>
          <w:rFonts w:hint="eastAsia"/>
        </w:rPr>
        <w:t>(</w:t>
      </w:r>
      <w:r>
        <w:rPr>
          <w:rFonts w:hint="eastAsia"/>
        </w:rPr>
        <w:t>任意後見契約</w:t>
      </w:r>
      <w:r>
        <w:rPr>
          <w:rFonts w:hint="eastAsia"/>
        </w:rPr>
        <w:t>)</w:t>
      </w:r>
      <w:r>
        <w:rPr>
          <w:rFonts w:hint="eastAsia"/>
        </w:rPr>
        <w:t>を結び、任意後見監督人が選任された時からその効力が生ずるようにする制度です。</w:t>
      </w:r>
    </w:p>
    <w:p w:rsidR="0040461F" w:rsidRDefault="0040461F" w:rsidP="00AF3759">
      <w:pPr>
        <w:ind w:firstLineChars="100" w:firstLine="210"/>
      </w:pPr>
    </w:p>
    <w:p w:rsidR="00AF3759" w:rsidRDefault="00AF3759" w:rsidP="00AF3759"/>
    <w:p w:rsidR="00AF3759" w:rsidRPr="006C4D0F" w:rsidRDefault="00AF3759" w:rsidP="00AF3759">
      <w:pPr>
        <w:rPr>
          <w:rFonts w:ascii="HGS明朝E" w:eastAsia="HGS明朝E" w:hAnsi="HGS明朝E"/>
          <w:sz w:val="28"/>
          <w:szCs w:val="28"/>
        </w:rPr>
      </w:pPr>
      <w:r w:rsidRPr="006C4D0F">
        <w:rPr>
          <w:rFonts w:ascii="HGS明朝E" w:eastAsia="HGS明朝E" w:hAnsi="HGS明朝E" w:hint="eastAsia"/>
          <w:sz w:val="28"/>
          <w:szCs w:val="28"/>
        </w:rPr>
        <w:t>4、後見人の役割は</w:t>
      </w:r>
    </w:p>
    <w:p w:rsidR="0040461F" w:rsidRPr="0040461F" w:rsidRDefault="0040461F" w:rsidP="0040461F">
      <w:pPr>
        <w:ind w:firstLineChars="100" w:firstLine="210"/>
        <w:rPr>
          <w:szCs w:val="21"/>
        </w:rPr>
      </w:pPr>
      <w:r w:rsidRPr="0040461F">
        <w:rPr>
          <w:rFonts w:hint="eastAsia"/>
          <w:szCs w:val="21"/>
        </w:rPr>
        <w:t>成年後見人の立場は、利用者の周囲との調整役ではなく、利用者の主張役であり、それは意思能力を欠く状況にある本人の人権への配慮ともいえます。同時に、周辺の方への配慮でもあります。</w:t>
      </w:r>
    </w:p>
    <w:p w:rsidR="0040461F" w:rsidRDefault="0040461F" w:rsidP="0040461F">
      <w:pPr>
        <w:ind w:firstLineChars="100" w:firstLine="210"/>
        <w:rPr>
          <w:szCs w:val="21"/>
        </w:rPr>
      </w:pPr>
      <w:r w:rsidRPr="0040461F">
        <w:rPr>
          <w:rFonts w:hint="eastAsia"/>
          <w:szCs w:val="21"/>
        </w:rPr>
        <w:t>成年後見人には、利用者の具体的・個別的な状況をつかむことや周囲の方の話を十分に聞きとる能力を高め、本人のための配慮は何かという観点に基づき、具体的に理解を得られるように手続きをすすめることが求められてい</w:t>
      </w:r>
      <w:r>
        <w:rPr>
          <w:rFonts w:hint="eastAsia"/>
          <w:szCs w:val="21"/>
        </w:rPr>
        <w:t>ます</w:t>
      </w:r>
      <w:r w:rsidRPr="0040461F">
        <w:rPr>
          <w:rFonts w:hint="eastAsia"/>
          <w:szCs w:val="21"/>
        </w:rPr>
        <w:t>。</w:t>
      </w:r>
    </w:p>
    <w:p w:rsidR="00A56C59" w:rsidRDefault="0040461F" w:rsidP="00A56C59">
      <w:pPr>
        <w:ind w:firstLineChars="100" w:firstLine="210"/>
        <w:rPr>
          <w:szCs w:val="21"/>
        </w:rPr>
      </w:pPr>
      <w:r>
        <w:rPr>
          <w:rFonts w:hint="eastAsia"/>
          <w:szCs w:val="21"/>
        </w:rPr>
        <w:t>近年、</w:t>
      </w:r>
      <w:r w:rsidR="00A56C59" w:rsidRPr="00A56C59">
        <w:rPr>
          <w:rFonts w:hint="eastAsia"/>
          <w:szCs w:val="21"/>
        </w:rPr>
        <w:t>意思決定支援</w:t>
      </w:r>
      <w:r>
        <w:rPr>
          <w:rFonts w:hint="eastAsia"/>
          <w:szCs w:val="21"/>
        </w:rPr>
        <w:t>の重要性が強調されています。</w:t>
      </w:r>
      <w:r w:rsidR="00A56C59" w:rsidRPr="00A56C59">
        <w:rPr>
          <w:rFonts w:hint="eastAsia"/>
          <w:szCs w:val="21"/>
        </w:rPr>
        <w:t>判断能力が不十分な人であっても，本人がその能力を最大限に活かして</w:t>
      </w:r>
      <w:r>
        <w:rPr>
          <w:rFonts w:hint="eastAsia"/>
          <w:szCs w:val="21"/>
        </w:rPr>
        <w:t>、</w:t>
      </w:r>
      <w:r w:rsidR="00A56C59" w:rsidRPr="00A56C59">
        <w:rPr>
          <w:rFonts w:hint="eastAsia"/>
          <w:szCs w:val="21"/>
        </w:rPr>
        <w:t>日常生活や社会生活に関して自らの意思に基づいた生活を送ることができるようにするために</w:t>
      </w:r>
      <w:r>
        <w:rPr>
          <w:rFonts w:hint="eastAsia"/>
          <w:szCs w:val="21"/>
        </w:rPr>
        <w:t>、</w:t>
      </w:r>
      <w:r w:rsidR="00A56C59" w:rsidRPr="00A56C59">
        <w:rPr>
          <w:rFonts w:hint="eastAsia"/>
          <w:szCs w:val="21"/>
        </w:rPr>
        <w:t>成年後見人等を含めた本人に関わるあらゆる人が行う</w:t>
      </w:r>
      <w:r>
        <w:rPr>
          <w:rFonts w:hint="eastAsia"/>
          <w:szCs w:val="21"/>
        </w:rPr>
        <w:t>、</w:t>
      </w:r>
      <w:r w:rsidR="00A56C59" w:rsidRPr="00A56C59">
        <w:rPr>
          <w:rFonts w:hint="eastAsia"/>
          <w:szCs w:val="21"/>
        </w:rPr>
        <w:t>本人との関わり方の基本的姿勢のことをいいます。</w:t>
      </w:r>
    </w:p>
    <w:p w:rsidR="00A56C59" w:rsidRPr="00A56C59" w:rsidRDefault="00A56C59" w:rsidP="00A56C59">
      <w:pPr>
        <w:ind w:firstLineChars="100" w:firstLine="210"/>
        <w:rPr>
          <w:szCs w:val="21"/>
        </w:rPr>
      </w:pPr>
      <w:r w:rsidRPr="00A56C59">
        <w:rPr>
          <w:rFonts w:hint="eastAsia"/>
          <w:szCs w:val="21"/>
        </w:rPr>
        <w:t>意思決定支援は</w:t>
      </w:r>
      <w:r w:rsidR="0040461F">
        <w:rPr>
          <w:rFonts w:hint="eastAsia"/>
          <w:szCs w:val="21"/>
        </w:rPr>
        <w:t>、</w:t>
      </w:r>
      <w:r w:rsidRPr="00A56C59">
        <w:rPr>
          <w:rFonts w:hint="eastAsia"/>
          <w:szCs w:val="21"/>
        </w:rPr>
        <w:t>本人が必要な情報を理解できるように提供し</w:t>
      </w:r>
      <w:r w:rsidR="0040461F">
        <w:rPr>
          <w:rFonts w:hint="eastAsia"/>
          <w:szCs w:val="21"/>
        </w:rPr>
        <w:t>、</w:t>
      </w:r>
      <w:r w:rsidRPr="00A56C59">
        <w:rPr>
          <w:rFonts w:hint="eastAsia"/>
          <w:szCs w:val="21"/>
        </w:rPr>
        <w:t>本人の表明した意思</w:t>
      </w:r>
      <w:r w:rsidR="0040461F">
        <w:rPr>
          <w:rFonts w:hint="eastAsia"/>
          <w:szCs w:val="21"/>
        </w:rPr>
        <w:t>、</w:t>
      </w:r>
      <w:r w:rsidRPr="00A56C59">
        <w:rPr>
          <w:rFonts w:hint="eastAsia"/>
          <w:szCs w:val="21"/>
        </w:rPr>
        <w:t>意向</w:t>
      </w:r>
      <w:r w:rsidR="0040461F">
        <w:rPr>
          <w:rFonts w:hint="eastAsia"/>
          <w:szCs w:val="21"/>
        </w:rPr>
        <w:t>、</w:t>
      </w:r>
      <w:r w:rsidRPr="00A56C59">
        <w:rPr>
          <w:rFonts w:hint="eastAsia"/>
          <w:szCs w:val="21"/>
        </w:rPr>
        <w:t>好み</w:t>
      </w:r>
    </w:p>
    <w:p w:rsidR="00A56C59" w:rsidRDefault="00A56C59" w:rsidP="00B71E51">
      <w:pPr>
        <w:rPr>
          <w:szCs w:val="21"/>
        </w:rPr>
      </w:pPr>
      <w:r w:rsidRPr="00A56C59">
        <w:rPr>
          <w:rFonts w:hint="eastAsia"/>
          <w:szCs w:val="21"/>
        </w:rPr>
        <w:t>を尊重することから始まります。</w:t>
      </w:r>
    </w:p>
    <w:p w:rsidR="00A56C59" w:rsidRDefault="00A56C59" w:rsidP="00AF3759">
      <w:pPr>
        <w:ind w:firstLineChars="100" w:firstLine="210"/>
        <w:rPr>
          <w:szCs w:val="21"/>
        </w:rPr>
      </w:pPr>
    </w:p>
    <w:p w:rsidR="00B71E51" w:rsidRPr="00DA45DF" w:rsidRDefault="00B71E51" w:rsidP="00B71E51">
      <w:pPr>
        <w:rPr>
          <w:sz w:val="24"/>
          <w:szCs w:val="24"/>
        </w:rPr>
      </w:pPr>
      <w:r w:rsidRPr="00DA45DF">
        <w:rPr>
          <w:sz w:val="24"/>
          <w:szCs w:val="24"/>
        </w:rPr>
        <w:t>【身上監護】</w:t>
      </w:r>
    </w:p>
    <w:p w:rsidR="00B71E51" w:rsidRDefault="00AF3759" w:rsidP="00AF3759">
      <w:pPr>
        <w:ind w:firstLineChars="100" w:firstLine="210"/>
        <w:rPr>
          <w:szCs w:val="21"/>
        </w:rPr>
      </w:pPr>
      <w:r w:rsidRPr="00E47CA6">
        <w:rPr>
          <w:rFonts w:hint="eastAsia"/>
          <w:szCs w:val="21"/>
        </w:rPr>
        <w:t>成年後見人の仕事には、大きく分けて財産管理と身上監護の２つがあります</w:t>
      </w:r>
    </w:p>
    <w:p w:rsidR="00AF3759" w:rsidRPr="00E47CA6" w:rsidRDefault="00AF3759" w:rsidP="00AF3759">
      <w:pPr>
        <w:ind w:firstLineChars="100" w:firstLine="210"/>
        <w:rPr>
          <w:szCs w:val="21"/>
        </w:rPr>
      </w:pPr>
      <w:r w:rsidRPr="00E47CA6">
        <w:rPr>
          <w:rFonts w:hint="eastAsia"/>
          <w:szCs w:val="21"/>
        </w:rPr>
        <w:t>身上監護には、現実の介護行為は含まれません。食料品や衣料品等を購入するような日常生活に関する行為については、本人が自由におこなうことができます。</w:t>
      </w:r>
      <w:r w:rsidRPr="00E47CA6">
        <w:rPr>
          <w:rFonts w:hint="eastAsia"/>
          <w:szCs w:val="21"/>
        </w:rPr>
        <w:br/>
      </w:r>
      <w:r>
        <w:rPr>
          <w:rFonts w:hint="eastAsia"/>
          <w:szCs w:val="21"/>
        </w:rPr>
        <w:lastRenderedPageBreak/>
        <w:t xml:space="preserve">　</w:t>
      </w:r>
      <w:r w:rsidRPr="00E47CA6">
        <w:rPr>
          <w:rFonts w:hint="eastAsia"/>
          <w:szCs w:val="21"/>
        </w:rPr>
        <w:t>なお、本人の居住用不動産を処分するには家庭裁判所の許可が必要となります。ここでいう「処分」は売買だけでなく、賃貸や抵当権の設定等の行為も含まれます。</w:t>
      </w:r>
    </w:p>
    <w:p w:rsidR="00AF3759" w:rsidRPr="006A546A" w:rsidRDefault="00AF3759" w:rsidP="00AF3759">
      <w:pPr>
        <w:rPr>
          <w:b/>
          <w:sz w:val="24"/>
          <w:szCs w:val="24"/>
        </w:rPr>
      </w:pPr>
    </w:p>
    <w:p w:rsidR="00AF3759" w:rsidRPr="00FE6033" w:rsidRDefault="00AF3759" w:rsidP="0040461F">
      <w:pPr>
        <w:ind w:firstLineChars="100" w:firstLine="210"/>
      </w:pPr>
      <w:r w:rsidRPr="00FE6033">
        <w:t>成年後見人（保佐人・補助人）が事務を行うときには、『本人』の意思を尊重し、その心身の状態及び生活の状況に配慮しなければなりません。</w:t>
      </w:r>
    </w:p>
    <w:p w:rsidR="00AF3759" w:rsidRDefault="00AF3759" w:rsidP="0040461F">
      <w:pPr>
        <w:ind w:firstLineChars="100" w:firstLine="210"/>
      </w:pPr>
      <w:r w:rsidRPr="00FE6033">
        <w:rPr>
          <w:rFonts w:hint="eastAsia"/>
        </w:rPr>
        <w:t>身上配慮義務が要請する身上監護とは、客観的な視点からみた利用者本人の生活の質</w:t>
      </w:r>
      <w:r w:rsidRPr="00FE6033">
        <w:rPr>
          <w:rFonts w:hint="eastAsia"/>
        </w:rPr>
        <w:t>(</w:t>
      </w:r>
      <w:r w:rsidRPr="00FE6033">
        <w:rPr>
          <w:rFonts w:hint="eastAsia"/>
        </w:rPr>
        <w:t>ＱＯＬ</w:t>
      </w:r>
      <w:r w:rsidRPr="00FE6033">
        <w:rPr>
          <w:rFonts w:hint="eastAsia"/>
        </w:rPr>
        <w:t>)</w:t>
      </w:r>
      <w:r w:rsidRPr="00FE6033">
        <w:rPr>
          <w:rFonts w:hint="eastAsia"/>
        </w:rPr>
        <w:t>の維持・向上を目的とした活動であると位置づけられます。</w:t>
      </w:r>
    </w:p>
    <w:p w:rsidR="00AF3759" w:rsidRDefault="00AF3759" w:rsidP="00AF3759"/>
    <w:p w:rsidR="00B71E51" w:rsidRPr="00DA45DF" w:rsidRDefault="00B71E51" w:rsidP="00AF3759">
      <w:pPr>
        <w:rPr>
          <w:sz w:val="24"/>
          <w:szCs w:val="24"/>
        </w:rPr>
      </w:pPr>
      <w:r w:rsidRPr="00DA45DF">
        <w:rPr>
          <w:sz w:val="24"/>
          <w:szCs w:val="24"/>
        </w:rPr>
        <w:t>【財産管理】</w:t>
      </w:r>
    </w:p>
    <w:p w:rsidR="009C7204" w:rsidRDefault="00AF3759" w:rsidP="00B71E51">
      <w:pPr>
        <w:ind w:firstLineChars="100" w:firstLine="210"/>
      </w:pPr>
      <w:r w:rsidRPr="00FE6033">
        <w:rPr>
          <w:rFonts w:hint="eastAsia"/>
        </w:rPr>
        <w:t>成年後見人にはこの活動を法的に保障するための手段として、利用者の財産管理に対するさまざまな権限</w:t>
      </w:r>
      <w:r w:rsidRPr="00FE6033">
        <w:rPr>
          <w:rFonts w:hint="eastAsia"/>
        </w:rPr>
        <w:t>(</w:t>
      </w:r>
      <w:r w:rsidRPr="00FE6033">
        <w:rPr>
          <w:rFonts w:hint="eastAsia"/>
        </w:rPr>
        <w:t>法定代理権、同意権、取消権など</w:t>
      </w:r>
      <w:r w:rsidRPr="00FE6033">
        <w:rPr>
          <w:rFonts w:hint="eastAsia"/>
        </w:rPr>
        <w:t>)</w:t>
      </w:r>
      <w:r w:rsidRPr="00FE6033">
        <w:rPr>
          <w:rFonts w:hint="eastAsia"/>
        </w:rPr>
        <w:t>が与えられています。</w:t>
      </w:r>
    </w:p>
    <w:p w:rsidR="00AF3759" w:rsidRDefault="00AF3759" w:rsidP="00B71E51">
      <w:pPr>
        <w:ind w:firstLineChars="100" w:firstLine="210"/>
      </w:pPr>
      <w:r w:rsidRPr="00FE6033">
        <w:rPr>
          <w:rFonts w:hint="eastAsia"/>
        </w:rPr>
        <w:t>成年後見人には、利用者の生活の質の維持・向上のために積極的に利用者の</w:t>
      </w:r>
      <w:r>
        <w:rPr>
          <w:rFonts w:hint="eastAsia"/>
        </w:rPr>
        <w:t>資産</w:t>
      </w:r>
      <w:r w:rsidRPr="00FE6033">
        <w:rPr>
          <w:rFonts w:hint="eastAsia"/>
        </w:rPr>
        <w:t>を活用するという発想が求められています。資産を利用者のために適切に使うためにも、常に利用者の心身の状態と生活の状況を把握しておかなければなりません。</w:t>
      </w:r>
    </w:p>
    <w:p w:rsidR="00AF3759" w:rsidRPr="00FE6033" w:rsidRDefault="00AF3759" w:rsidP="00AF3759"/>
    <w:p w:rsidR="006C4D0F" w:rsidRDefault="006C4D0F" w:rsidP="00AF3759">
      <w:pPr>
        <w:rPr>
          <w:rFonts w:ascii="HGS明朝E" w:eastAsia="HGS明朝E"/>
          <w:sz w:val="24"/>
          <w:szCs w:val="24"/>
        </w:rPr>
      </w:pPr>
    </w:p>
    <w:p w:rsidR="00B71E51" w:rsidRPr="00715838" w:rsidRDefault="00715838" w:rsidP="00AF3759">
      <w:pPr>
        <w:rPr>
          <w:rFonts w:ascii="HGS明朝E" w:eastAsia="HGS明朝E"/>
          <w:sz w:val="28"/>
          <w:szCs w:val="28"/>
        </w:rPr>
      </w:pPr>
      <w:r w:rsidRPr="00715838">
        <w:rPr>
          <w:rFonts w:ascii="HGS明朝E" w:eastAsia="HGS明朝E"/>
          <w:sz w:val="28"/>
          <w:szCs w:val="28"/>
        </w:rPr>
        <w:t>５、制度活用の現状</w:t>
      </w:r>
    </w:p>
    <w:p w:rsidR="00DA45DF" w:rsidRDefault="00DA45DF" w:rsidP="00715838">
      <w:pPr>
        <w:ind w:firstLineChars="100" w:firstLine="210"/>
      </w:pPr>
      <w:r w:rsidRPr="00DA45DF">
        <w:rPr>
          <w:rFonts w:hint="eastAsia"/>
        </w:rPr>
        <w:t>後見等開始の審判の申立件数は、後見制度発足以来、年々増え続け、</w:t>
      </w:r>
      <w:r w:rsidRPr="00DA45DF">
        <w:rPr>
          <w:rFonts w:hint="eastAsia"/>
        </w:rPr>
        <w:t>2012</w:t>
      </w:r>
      <w:r w:rsidRPr="00DA45DF">
        <w:rPr>
          <w:rFonts w:hint="eastAsia"/>
        </w:rPr>
        <w:t>年には約</w:t>
      </w:r>
      <w:r w:rsidRPr="00DA45DF">
        <w:rPr>
          <w:rFonts w:hint="eastAsia"/>
        </w:rPr>
        <w:t>3</w:t>
      </w:r>
      <w:r w:rsidRPr="00DA45DF">
        <w:rPr>
          <w:rFonts w:hint="eastAsia"/>
        </w:rPr>
        <w:t>万</w:t>
      </w:r>
      <w:r w:rsidRPr="00DA45DF">
        <w:rPr>
          <w:rFonts w:hint="eastAsia"/>
        </w:rPr>
        <w:t>5</w:t>
      </w:r>
      <w:r w:rsidRPr="00DA45DF">
        <w:rPr>
          <w:rFonts w:hint="eastAsia"/>
        </w:rPr>
        <w:t>千件にまで増加しました。その後、件数は頭打ちし、</w:t>
      </w:r>
      <w:r w:rsidRPr="00DA45DF">
        <w:rPr>
          <w:rFonts w:hint="eastAsia"/>
        </w:rPr>
        <w:t>2012</w:t>
      </w:r>
      <w:r w:rsidRPr="00DA45DF">
        <w:rPr>
          <w:rFonts w:hint="eastAsia"/>
        </w:rPr>
        <w:t>年から</w:t>
      </w:r>
      <w:r w:rsidRPr="00DA45DF">
        <w:rPr>
          <w:rFonts w:hint="eastAsia"/>
        </w:rPr>
        <w:t>2019</w:t>
      </w:r>
      <w:r w:rsidRPr="00DA45DF">
        <w:rPr>
          <w:rFonts w:hint="eastAsia"/>
        </w:rPr>
        <w:t>年までの</w:t>
      </w:r>
      <w:r w:rsidRPr="00DA45DF">
        <w:rPr>
          <w:rFonts w:hint="eastAsia"/>
        </w:rPr>
        <w:t>8</w:t>
      </w:r>
      <w:r w:rsidRPr="00DA45DF">
        <w:rPr>
          <w:rFonts w:hint="eastAsia"/>
        </w:rPr>
        <w:t>年間、申立件数は横ばいとなっています。</w:t>
      </w:r>
    </w:p>
    <w:p w:rsidR="00715838" w:rsidRDefault="00715838" w:rsidP="00715838">
      <w:pPr>
        <w:ind w:firstLineChars="100" w:firstLine="210"/>
      </w:pPr>
      <w:r w:rsidRPr="00DA45DF">
        <w:rPr>
          <w:rFonts w:hint="eastAsia"/>
          <w:u w:val="single"/>
        </w:rPr>
        <w:t>2019</w:t>
      </w:r>
      <w:r w:rsidRPr="00DA45DF">
        <w:rPr>
          <w:rFonts w:hint="eastAsia"/>
          <w:u w:val="single"/>
        </w:rPr>
        <w:t>年、成年後見制度を利用している人は約</w:t>
      </w:r>
      <w:r w:rsidRPr="00DA45DF">
        <w:rPr>
          <w:rFonts w:hint="eastAsia"/>
          <w:u w:val="single"/>
        </w:rPr>
        <w:t>22</w:t>
      </w:r>
      <w:r w:rsidRPr="00DA45DF">
        <w:rPr>
          <w:rFonts w:hint="eastAsia"/>
          <w:u w:val="single"/>
        </w:rPr>
        <w:t>万人</w:t>
      </w:r>
      <w:r>
        <w:rPr>
          <w:rFonts w:hint="eastAsia"/>
        </w:rPr>
        <w:t>。</w:t>
      </w:r>
    </w:p>
    <w:p w:rsidR="00715838" w:rsidRPr="00715838" w:rsidRDefault="00715838" w:rsidP="00715838">
      <w:pPr>
        <w:ind w:firstLineChars="100" w:firstLine="210"/>
      </w:pPr>
      <w:r w:rsidRPr="00715838">
        <w:rPr>
          <w:rFonts w:hint="eastAsia"/>
        </w:rPr>
        <w:t>潜在的な後見ニーズ（判断能力が不十分とみられる人の総数：推計約</w:t>
      </w:r>
      <w:r w:rsidRPr="00715838">
        <w:rPr>
          <w:rFonts w:hint="eastAsia"/>
        </w:rPr>
        <w:t>1035</w:t>
      </w:r>
      <w:r w:rsidRPr="00715838">
        <w:rPr>
          <w:rFonts w:hint="eastAsia"/>
        </w:rPr>
        <w:t>万人）のわずか</w:t>
      </w:r>
      <w:r w:rsidRPr="00715838">
        <w:rPr>
          <w:rFonts w:hint="eastAsia"/>
        </w:rPr>
        <w:t>2</w:t>
      </w:r>
      <w:r w:rsidRPr="00715838">
        <w:rPr>
          <w:rFonts w:hint="eastAsia"/>
        </w:rPr>
        <w:t>％を満たしているに過ぎません。</w:t>
      </w:r>
    </w:p>
    <w:p w:rsidR="00715838" w:rsidRPr="00715838" w:rsidRDefault="00715838" w:rsidP="00715838">
      <w:r w:rsidRPr="00715838">
        <w:rPr>
          <w:rFonts w:hint="eastAsia"/>
        </w:rPr>
        <w:t xml:space="preserve">　今後、認知症高齢者等がますます増加し、後見人の需要も一層高まっていくと見込まれますが、親族や専門職だけでこれらすべてをまかなうことは難しいといえます。</w:t>
      </w:r>
    </w:p>
    <w:p w:rsidR="00715838" w:rsidRPr="00715838" w:rsidRDefault="00715838" w:rsidP="00715838">
      <w:r w:rsidRPr="00715838">
        <w:rPr>
          <w:rFonts w:hint="eastAsia"/>
        </w:rPr>
        <w:t xml:space="preserve">　今後の後見の需要増に対応するため、新たな後見の担い手として、市民後見人のさらなる活用が期待されているといえます。</w:t>
      </w:r>
    </w:p>
    <w:p w:rsidR="00715838" w:rsidRPr="00715838" w:rsidRDefault="00715838" w:rsidP="00715838"/>
    <w:p w:rsidR="00715838" w:rsidRDefault="00715838" w:rsidP="00715838">
      <w:r w:rsidRPr="00715838">
        <w:rPr>
          <w:rFonts w:hint="eastAsia"/>
        </w:rPr>
        <w:t xml:space="preserve">　成年後見制度の創設時（</w:t>
      </w:r>
      <w:r w:rsidRPr="00715838">
        <w:rPr>
          <w:rFonts w:hint="eastAsia"/>
        </w:rPr>
        <w:t>2000</w:t>
      </w:r>
      <w:r w:rsidRPr="00715838">
        <w:rPr>
          <w:rFonts w:hint="eastAsia"/>
        </w:rPr>
        <w:t>年）、後見人の選任数全体に占める親族後見人の選任数の割合は</w:t>
      </w:r>
      <w:r w:rsidRPr="00715838">
        <w:rPr>
          <w:rFonts w:hint="eastAsia"/>
        </w:rPr>
        <w:t>91%</w:t>
      </w:r>
    </w:p>
    <w:p w:rsidR="00715838" w:rsidRPr="00715838" w:rsidRDefault="00715838" w:rsidP="0040461F">
      <w:r w:rsidRPr="00715838">
        <w:rPr>
          <w:rFonts w:hint="eastAsia"/>
        </w:rPr>
        <w:t>2019</w:t>
      </w:r>
      <w:r w:rsidRPr="00715838">
        <w:rPr>
          <w:rFonts w:hint="eastAsia"/>
        </w:rPr>
        <w:t>年には</w:t>
      </w:r>
      <w:r w:rsidRPr="00715838">
        <w:rPr>
          <w:rFonts w:hint="eastAsia"/>
        </w:rPr>
        <w:t>22%</w:t>
      </w:r>
      <w:r w:rsidRPr="00715838">
        <w:rPr>
          <w:rFonts w:hint="eastAsia"/>
        </w:rPr>
        <w:t>にまで大幅に減少。</w:t>
      </w:r>
    </w:p>
    <w:p w:rsidR="00715838" w:rsidRPr="00715838" w:rsidRDefault="00715838" w:rsidP="00715838">
      <w:r w:rsidRPr="00715838">
        <w:rPr>
          <w:rFonts w:hint="eastAsia"/>
        </w:rPr>
        <w:t xml:space="preserve">　その背景には、①単身世帯や身寄りのない高齢者等の増加により、本人の後見人となるべき親族が見当たらないケースが増えている、②親族後見人による不正が多いことから、家庭裁判所が親族後見人の選任に消極的になっており、第三者後見人を選好する傾向にある、ということなどがあるとみられます。</w:t>
      </w:r>
    </w:p>
    <w:p w:rsidR="00FA3D02" w:rsidRDefault="00715838" w:rsidP="00FA3D02">
      <w:r w:rsidRPr="00715838">
        <w:rPr>
          <w:rFonts w:hint="eastAsia"/>
        </w:rPr>
        <w:t xml:space="preserve">　近年、専門職</w:t>
      </w:r>
      <w:r w:rsidR="0040461F">
        <w:rPr>
          <w:rFonts w:hint="eastAsia"/>
        </w:rPr>
        <w:t>（弁護士、司法書士、社会福祉士など）</w:t>
      </w:r>
      <w:r w:rsidRPr="00715838">
        <w:rPr>
          <w:rFonts w:hint="eastAsia"/>
        </w:rPr>
        <w:t>の選任数は、</w:t>
      </w:r>
      <w:r w:rsidRPr="00715838">
        <w:rPr>
          <w:rFonts w:hint="eastAsia"/>
        </w:rPr>
        <w:t>2000</w:t>
      </w:r>
      <w:r w:rsidRPr="00715838">
        <w:rPr>
          <w:rFonts w:hint="eastAsia"/>
        </w:rPr>
        <w:t>年に全体のわずか</w:t>
      </w:r>
      <w:r w:rsidRPr="00715838">
        <w:rPr>
          <w:rFonts w:hint="eastAsia"/>
        </w:rPr>
        <w:t>8</w:t>
      </w:r>
      <w:r w:rsidRPr="00715838">
        <w:rPr>
          <w:rFonts w:hint="eastAsia"/>
        </w:rPr>
        <w:t>％であったものが、</w:t>
      </w:r>
      <w:r w:rsidRPr="00715838">
        <w:rPr>
          <w:rFonts w:hint="eastAsia"/>
        </w:rPr>
        <w:t>2019</w:t>
      </w:r>
      <w:r w:rsidRPr="00715838">
        <w:rPr>
          <w:rFonts w:hint="eastAsia"/>
        </w:rPr>
        <w:t>年には</w:t>
      </w:r>
      <w:r w:rsidRPr="00715838">
        <w:rPr>
          <w:rFonts w:hint="eastAsia"/>
        </w:rPr>
        <w:t>69</w:t>
      </w:r>
      <w:r w:rsidRPr="00715838">
        <w:rPr>
          <w:rFonts w:hint="eastAsia"/>
        </w:rPr>
        <w:t>％にまで大きく増加しています。</w:t>
      </w:r>
    </w:p>
    <w:p w:rsidR="00FA3D02" w:rsidRDefault="00FA3D02" w:rsidP="00FA3D02"/>
    <w:p w:rsidR="00FA3D02" w:rsidRPr="00FA3D02" w:rsidRDefault="00FA3D02" w:rsidP="00FA3D02">
      <w:r w:rsidRPr="00FA3D02">
        <w:rPr>
          <w:rFonts w:ascii="HGP明朝B" w:eastAsia="HGP明朝B" w:hint="eastAsia"/>
          <w:sz w:val="28"/>
          <w:szCs w:val="28"/>
        </w:rPr>
        <w:t>6</w:t>
      </w:r>
      <w:r w:rsidR="003F067F" w:rsidRPr="00FA3D02">
        <w:rPr>
          <w:rFonts w:ascii="HGP明朝B" w:eastAsia="HGP明朝B" w:hint="eastAsia"/>
          <w:sz w:val="28"/>
          <w:szCs w:val="28"/>
        </w:rPr>
        <w:t>、</w:t>
      </w:r>
      <w:r w:rsidRPr="00FA3D02">
        <w:rPr>
          <w:rFonts w:ascii="HGP明朝B" w:eastAsia="HGP明朝B" w:hint="eastAsia"/>
          <w:sz w:val="28"/>
          <w:szCs w:val="28"/>
        </w:rPr>
        <w:t>金融</w:t>
      </w:r>
      <w:r>
        <w:rPr>
          <w:rFonts w:ascii="HGS明朝B" w:eastAsia="HGS明朝B" w:hint="eastAsia"/>
          <w:sz w:val="28"/>
          <w:szCs w:val="28"/>
        </w:rPr>
        <w:t>機関について</w:t>
      </w:r>
    </w:p>
    <w:p w:rsidR="00FA3D02" w:rsidRPr="005E319A" w:rsidRDefault="00FA3D02" w:rsidP="00FA3D02">
      <w:pPr>
        <w:ind w:firstLineChars="100" w:firstLine="210"/>
      </w:pPr>
      <w:r w:rsidRPr="005E319A">
        <w:rPr>
          <w:rFonts w:hint="eastAsia"/>
        </w:rPr>
        <w:t>家族が認知症になると、医療費や介護費など、お金のことも大きな問題となります。本人の認知能力が低下したと判断すると、財産を守るために取引をストップする銀行が多く、預金を引き出したい親族とトラブルになるケースも増えているようです。改善をめざし、</w:t>
      </w:r>
      <w:r>
        <w:rPr>
          <w:rFonts w:hint="eastAsia"/>
        </w:rPr>
        <w:t>2021</w:t>
      </w:r>
      <w:r>
        <w:rPr>
          <w:rFonts w:hint="eastAsia"/>
        </w:rPr>
        <w:t>年</w:t>
      </w:r>
      <w:r w:rsidRPr="005E319A">
        <w:rPr>
          <w:rFonts w:hint="eastAsia"/>
        </w:rPr>
        <w:t>2</w:t>
      </w:r>
      <w:r w:rsidRPr="005E319A">
        <w:rPr>
          <w:rFonts w:hint="eastAsia"/>
        </w:rPr>
        <w:t>月に全国銀行協会が認知症対応について新たな指針をまとめ、大手銀行も認知症患者に向けた新たなサービスを</w:t>
      </w:r>
      <w:r w:rsidRPr="005E319A">
        <w:rPr>
          <w:rFonts w:hint="eastAsia"/>
        </w:rPr>
        <w:t>3</w:t>
      </w:r>
      <w:r w:rsidRPr="005E319A">
        <w:rPr>
          <w:rFonts w:hint="eastAsia"/>
        </w:rPr>
        <w:t>月から始めます。認知症に備え、家族が考えておきたいお金の対策を司法書士の池内宏征さんに聞きました。</w:t>
      </w:r>
    </w:p>
    <w:p w:rsidR="00FA3D02" w:rsidRDefault="00FA3D02" w:rsidP="00FA3D02">
      <w:r w:rsidRPr="005E319A">
        <w:rPr>
          <w:rFonts w:hint="eastAsia"/>
        </w:rPr>
        <w:lastRenderedPageBreak/>
        <w:t>＜参考＞</w:t>
      </w:r>
      <w:hyperlink r:id="rId7" w:history="1">
        <w:r w:rsidRPr="005E319A">
          <w:rPr>
            <w:rStyle w:val="aa"/>
            <w:rFonts w:hint="eastAsia"/>
          </w:rPr>
          <w:t>厚生労働省「認知症施策の総合的な推進について」</w:t>
        </w:r>
      </w:hyperlink>
    </w:p>
    <w:p w:rsidR="00FA3D02" w:rsidRPr="005E319A" w:rsidRDefault="00FA3D02" w:rsidP="00FA3D02"/>
    <w:p w:rsidR="00FA3D02" w:rsidRDefault="00FA3D02" w:rsidP="00FA3D02">
      <w:pPr>
        <w:rPr>
          <w:b/>
          <w:bCs/>
        </w:rPr>
      </w:pPr>
      <w:r w:rsidRPr="005E319A">
        <w:rPr>
          <w:rFonts w:hint="eastAsia"/>
          <w:b/>
          <w:bCs/>
        </w:rPr>
        <w:t>医療費などの振り込みが認められる可能性はあるが、認知判断能力が低下した後は「成年後見制度」の利用が原則。元気なうちに、本人の意向を尊重できる選択肢を知っておく</w:t>
      </w:r>
    </w:p>
    <w:p w:rsidR="00FA3D02" w:rsidRPr="005E319A" w:rsidRDefault="00FA3D02" w:rsidP="00FA3D02">
      <w:pPr>
        <w:rPr>
          <w:b/>
          <w:bCs/>
        </w:rPr>
      </w:pPr>
    </w:p>
    <w:p w:rsidR="00FA3D02" w:rsidRPr="005E319A" w:rsidRDefault="00FA3D02" w:rsidP="00FA3D02">
      <w:r w:rsidRPr="005E319A">
        <w:rPr>
          <w:rFonts w:hint="eastAsia"/>
          <w:b/>
          <w:bCs/>
        </w:rPr>
        <w:t xml:space="preserve">Q: </w:t>
      </w:r>
      <w:r w:rsidRPr="005E319A">
        <w:rPr>
          <w:rFonts w:hint="eastAsia"/>
          <w:b/>
          <w:bCs/>
        </w:rPr>
        <w:t>全国銀行協会から出された新たな指針はどのような内容ですか？</w:t>
      </w:r>
      <w:r w:rsidRPr="005E319A">
        <w:rPr>
          <w:rFonts w:hint="eastAsia"/>
        </w:rPr>
        <w:br/>
        <w:t>--------</w:t>
      </w:r>
      <w:r w:rsidRPr="005E319A">
        <w:rPr>
          <w:rFonts w:hint="eastAsia"/>
        </w:rPr>
        <w:br/>
      </w:r>
      <w:r w:rsidRPr="005E319A">
        <w:rPr>
          <w:rFonts w:hint="eastAsia"/>
        </w:rPr>
        <w:t>本人の認知判断能力が低下した後、親族から預金の引き出しを求められた場合の取り扱いについて方向性をまとめたものです。あくまで、「成年後見制度」を求める原則はこれまで通りで、各銀行の運用が劇的に変わるものではありません。</w:t>
      </w:r>
    </w:p>
    <w:p w:rsidR="00FA3D02" w:rsidRPr="005E319A" w:rsidRDefault="00FA3D02" w:rsidP="00FA3D02">
      <w:r w:rsidRPr="005E319A">
        <w:rPr>
          <w:rFonts w:hint="eastAsia"/>
        </w:rPr>
        <w:t>今回の指針では、次の①②を確認できれば、限定的に代理の親族による引き出しに応じることもあるとしました。</w:t>
      </w:r>
    </w:p>
    <w:p w:rsidR="00FA3D02" w:rsidRPr="005E319A" w:rsidRDefault="00FA3D02" w:rsidP="00FA3D02">
      <w:r w:rsidRPr="005E319A">
        <w:rPr>
          <w:rFonts w:hint="eastAsia"/>
        </w:rPr>
        <w:t>①本人との面談や診断書の提出などで、認知判断能力の喪失を判断する</w:t>
      </w:r>
      <w:r w:rsidRPr="005E319A">
        <w:rPr>
          <w:rFonts w:hint="eastAsia"/>
        </w:rPr>
        <w:br/>
      </w:r>
      <w:r w:rsidRPr="005E319A">
        <w:rPr>
          <w:rFonts w:hint="eastAsia"/>
        </w:rPr>
        <w:t>②医療費など本人の利益に沿う支払いかどうかを確認する</w:t>
      </w:r>
    </w:p>
    <w:p w:rsidR="00FA3D02" w:rsidRPr="005E319A" w:rsidRDefault="00FA3D02" w:rsidP="00FA3D02">
      <w:r w:rsidRPr="005E319A">
        <w:rPr>
          <w:rFonts w:hint="eastAsia"/>
        </w:rPr>
        <w:t>この場合も、本人の口座から病院や介護施設に直接振り込むなど、現金が親族を直接経由しない方法が検討されるでしょう。</w:t>
      </w:r>
    </w:p>
    <w:p w:rsidR="00FA3D02" w:rsidRPr="005E319A" w:rsidRDefault="00FA3D02" w:rsidP="00FA3D02">
      <w:r w:rsidRPr="005E319A">
        <w:rPr>
          <w:rFonts w:hint="eastAsia"/>
        </w:rPr>
        <w:t>現在、本人の認知判断能力がある場合は、本人が作成した委任状と、通帳、印鑑があれば、代理の親族が窓口で引き出すことができます。あわせてその場で本人に電話をして、意思確認を行う銀行が多いようです。</w:t>
      </w:r>
    </w:p>
    <w:p w:rsidR="00FA3D02" w:rsidRDefault="00FA3D02" w:rsidP="00FA3D02">
      <w:r w:rsidRPr="005E319A">
        <w:rPr>
          <w:rFonts w:hint="eastAsia"/>
        </w:rPr>
        <w:t>一方、本人の認知判断能力がない場合は、預金は凍結され、銀行は親族に対して「成年後見制度」の利用を促すしか選択肢がありませんでした。今回、限定的とはいえ、新たな選択肢が提示されたことは、銀行の認知症対応が一歩進んだと評価できるのではないでしょうか。</w:t>
      </w:r>
    </w:p>
    <w:p w:rsidR="00FA3D02" w:rsidRPr="005E319A" w:rsidRDefault="00FA3D02" w:rsidP="00FA3D02"/>
    <w:p w:rsidR="00FA3D02" w:rsidRPr="005E319A" w:rsidRDefault="00FA3D02" w:rsidP="00FA3D02">
      <w:r w:rsidRPr="005E319A">
        <w:rPr>
          <w:rFonts w:hint="eastAsia"/>
          <w:b/>
          <w:bCs/>
        </w:rPr>
        <w:t>Q:3</w:t>
      </w:r>
      <w:r w:rsidRPr="005E319A">
        <w:rPr>
          <w:rFonts w:hint="eastAsia"/>
          <w:b/>
          <w:bCs/>
        </w:rPr>
        <w:t>月からスタートする大手銀行のサービスとはどのようなものですか。ほかに、認知症高齢者に対応したサービスはありますか？</w:t>
      </w:r>
      <w:r w:rsidRPr="005E319A">
        <w:rPr>
          <w:rFonts w:hint="eastAsia"/>
        </w:rPr>
        <w:br/>
        <w:t>--------</w:t>
      </w:r>
      <w:r w:rsidRPr="005E319A">
        <w:rPr>
          <w:rFonts w:hint="eastAsia"/>
        </w:rPr>
        <w:br/>
      </w:r>
      <w:r w:rsidRPr="005E319A">
        <w:rPr>
          <w:rFonts w:hint="eastAsia"/>
        </w:rPr>
        <w:t>三菱</w:t>
      </w:r>
      <w:r w:rsidRPr="005E319A">
        <w:rPr>
          <w:rFonts w:hint="eastAsia"/>
        </w:rPr>
        <w:t>UFJ</w:t>
      </w:r>
      <w:r w:rsidRPr="005E319A">
        <w:rPr>
          <w:rFonts w:hint="eastAsia"/>
        </w:rPr>
        <w:t>銀行などが</w:t>
      </w:r>
      <w:r>
        <w:rPr>
          <w:rFonts w:hint="eastAsia"/>
        </w:rPr>
        <w:t>2021</w:t>
      </w:r>
      <w:r>
        <w:rPr>
          <w:rFonts w:hint="eastAsia"/>
        </w:rPr>
        <w:t>年</w:t>
      </w:r>
      <w:r w:rsidRPr="005E319A">
        <w:rPr>
          <w:rFonts w:hint="eastAsia"/>
        </w:rPr>
        <w:t>3</w:t>
      </w:r>
      <w:r w:rsidRPr="005E319A">
        <w:rPr>
          <w:rFonts w:hint="eastAsia"/>
        </w:rPr>
        <w:t>月</w:t>
      </w:r>
      <w:r w:rsidRPr="005E319A">
        <w:rPr>
          <w:rFonts w:hint="eastAsia"/>
        </w:rPr>
        <w:t>22</w:t>
      </w:r>
      <w:r w:rsidRPr="005E319A">
        <w:rPr>
          <w:rFonts w:hint="eastAsia"/>
        </w:rPr>
        <w:t>日から開始する「予約型代理人サービス」は、本人の判断能力があるうちに、預金の入出金、株などの売却・解約について、あらかじめ代理人（原則は配偶者か二親等以内の血族）を指定できます。</w:t>
      </w:r>
    </w:p>
    <w:p w:rsidR="00FA3D02" w:rsidRPr="005E319A" w:rsidRDefault="00FA3D02" w:rsidP="00FA3D02">
      <w:r w:rsidRPr="005E319A">
        <w:rPr>
          <w:rFonts w:hint="eastAsia"/>
        </w:rPr>
        <w:t>将来、判断能力が低下した証明として診断書を提出すると、代理人による取引がスタートします。預金の入出金について、代理人をあらかじめ指名しておけるサービスは、数年前から登場し、徐々に普及しつつあります。今後も同様のサービスが広がる可能性は高いと思われます。</w:t>
      </w:r>
    </w:p>
    <w:p w:rsidR="00FA3D02" w:rsidRPr="005E319A" w:rsidRDefault="00FA3D02" w:rsidP="00FA3D02">
      <w:r w:rsidRPr="005E319A">
        <w:rPr>
          <w:rFonts w:hint="eastAsia"/>
        </w:rPr>
        <w:t>また、近年、加齢が金融に与える影響を分析する学問分野「金融ジェロントロジー」をもとに、認知症と金融を考える動きも注目されています。</w:t>
      </w:r>
    </w:p>
    <w:p w:rsidR="00FA3D02" w:rsidRDefault="00FA3D02" w:rsidP="00FA3D02">
      <w:r w:rsidRPr="005E319A">
        <w:rPr>
          <w:rFonts w:hint="eastAsia"/>
        </w:rPr>
        <w:t>報道によると、認知症対応などにかかわる、新たな資格「銀行ジェロントロジスト」（日本意思決定支援推進機構・金融財政事情研究会）などの認定試験を取り入れ、行員に取得を促す金融機関も出ているようです。認知症患者の増加に伴い、各銀行が認知症対応にますます積極的に取り組むようになってきていると感じます。</w:t>
      </w:r>
    </w:p>
    <w:p w:rsidR="00FA3D02" w:rsidRPr="005E319A" w:rsidRDefault="00FA3D02" w:rsidP="00FA3D02"/>
    <w:p w:rsidR="00FA3D02" w:rsidRPr="005E319A" w:rsidRDefault="00FA3D02" w:rsidP="00FA3D02">
      <w:r w:rsidRPr="005E319A">
        <w:rPr>
          <w:rFonts w:hint="eastAsia"/>
          <w:b/>
          <w:bCs/>
        </w:rPr>
        <w:t>Q:</w:t>
      </w:r>
      <w:r w:rsidRPr="005E319A">
        <w:rPr>
          <w:rFonts w:hint="eastAsia"/>
          <w:b/>
          <w:bCs/>
        </w:rPr>
        <w:t>現在、認知症になった本人の預金を家族が引き出したい場合にはどうすればいいのですか？</w:t>
      </w:r>
      <w:r w:rsidRPr="005E319A">
        <w:rPr>
          <w:rFonts w:hint="eastAsia"/>
        </w:rPr>
        <w:br/>
        <w:t>--------</w:t>
      </w:r>
      <w:r w:rsidRPr="005E319A">
        <w:rPr>
          <w:rFonts w:hint="eastAsia"/>
        </w:rPr>
        <w:br/>
      </w:r>
      <w:r w:rsidRPr="005E319A">
        <w:rPr>
          <w:rFonts w:hint="eastAsia"/>
        </w:rPr>
        <w:t>本人の認知判断能力が不十分という診断書が出された場合、財産の管理、契約の締結など法律行為が一切できなくなります。</w:t>
      </w:r>
    </w:p>
    <w:p w:rsidR="00FA3D02" w:rsidRPr="005E319A" w:rsidRDefault="00FA3D02" w:rsidP="00FA3D02">
      <w:r w:rsidRPr="005E319A">
        <w:rPr>
          <w:rFonts w:hint="eastAsia"/>
        </w:rPr>
        <w:t>本人に代わり国が保護する制度が、「成年後見制度」です。未成年者に対する親権者のような「法定代理人」として、</w:t>
      </w:r>
      <w:r w:rsidRPr="005E319A">
        <w:rPr>
          <w:rFonts w:hint="eastAsia"/>
        </w:rPr>
        <w:t>20</w:t>
      </w:r>
      <w:r w:rsidRPr="005E319A">
        <w:rPr>
          <w:rFonts w:hint="eastAsia"/>
        </w:rPr>
        <w:t>歳以上に対しては「成年後見人」が選ばれます。後見人の職務は、財産管理に加え、入退院の手続きや、携帯電話の契約など、日常的な契約を行う「身上監護（しんじょうかんご）」も含まれ</w:t>
      </w:r>
      <w:r w:rsidRPr="005E319A">
        <w:rPr>
          <w:rFonts w:hint="eastAsia"/>
        </w:rPr>
        <w:lastRenderedPageBreak/>
        <w:t>ます。</w:t>
      </w:r>
    </w:p>
    <w:p w:rsidR="00FA3D02" w:rsidRPr="005E319A" w:rsidRDefault="00FA3D02" w:rsidP="00FA3D02">
      <w:r w:rsidRPr="005E319A">
        <w:rPr>
          <w:rFonts w:hint="eastAsia"/>
        </w:rPr>
        <w:t>後見人を選ぶのは、家庭裁判所の裁判官です。現状では、後見人の約</w:t>
      </w:r>
      <w:r w:rsidRPr="005E319A">
        <w:rPr>
          <w:rFonts w:hint="eastAsia"/>
        </w:rPr>
        <w:t>7</w:t>
      </w:r>
      <w:r w:rsidRPr="005E319A">
        <w:rPr>
          <w:rFonts w:hint="eastAsia"/>
        </w:rPr>
        <w:t>割が司法書士や弁護士など法律の専門家が担っています。</w:t>
      </w:r>
    </w:p>
    <w:p w:rsidR="00FA3D02" w:rsidRDefault="00FA3D02" w:rsidP="00FA3D02">
      <w:r w:rsidRPr="005E319A">
        <w:rPr>
          <w:rFonts w:hint="eastAsia"/>
        </w:rPr>
        <w:t>本人が亡くなるまで、成年後見人に対して、月額</w:t>
      </w:r>
      <w:r w:rsidRPr="005E319A">
        <w:rPr>
          <w:rFonts w:hint="eastAsia"/>
        </w:rPr>
        <w:t>3</w:t>
      </w:r>
      <w:r w:rsidRPr="005E319A">
        <w:rPr>
          <w:rFonts w:hint="eastAsia"/>
        </w:rPr>
        <w:t>万円～</w:t>
      </w:r>
      <w:r w:rsidRPr="005E319A">
        <w:rPr>
          <w:rFonts w:hint="eastAsia"/>
        </w:rPr>
        <w:t>5</w:t>
      </w:r>
      <w:r w:rsidRPr="005E319A">
        <w:rPr>
          <w:rFonts w:hint="eastAsia"/>
        </w:rPr>
        <w:t>万円の報酬が発生します。一定額を超える支出や収入は、家庭裁判所に事前に相談し、定期的に報告する義務もあります。金銭的な負担や手続きのわずらわしさから、利用者数は平成</w:t>
      </w:r>
      <w:r w:rsidRPr="005E319A">
        <w:rPr>
          <w:rFonts w:hint="eastAsia"/>
        </w:rPr>
        <w:t>30</w:t>
      </w:r>
      <w:r w:rsidRPr="005E319A">
        <w:rPr>
          <w:rFonts w:hint="eastAsia"/>
        </w:rPr>
        <w:t>年</w:t>
      </w:r>
      <w:r w:rsidRPr="005E319A">
        <w:rPr>
          <w:rFonts w:hint="eastAsia"/>
        </w:rPr>
        <w:t>12</w:t>
      </w:r>
      <w:r w:rsidRPr="005E319A">
        <w:rPr>
          <w:rFonts w:hint="eastAsia"/>
        </w:rPr>
        <w:t>月末時点で約</w:t>
      </w:r>
      <w:r w:rsidRPr="005E319A">
        <w:rPr>
          <w:rFonts w:hint="eastAsia"/>
        </w:rPr>
        <w:t>22</w:t>
      </w:r>
      <w:r w:rsidRPr="005E319A">
        <w:rPr>
          <w:rFonts w:hint="eastAsia"/>
        </w:rPr>
        <w:t>万人※と、利用が進んでいるとは言い難いものとなっています。</w:t>
      </w:r>
    </w:p>
    <w:p w:rsidR="00FA3D02" w:rsidRPr="005E319A" w:rsidRDefault="00FA3D02" w:rsidP="00FA3D02"/>
    <w:p w:rsidR="00FA3D02" w:rsidRDefault="00FA3D02" w:rsidP="00FA3D02">
      <w:r w:rsidRPr="005E319A">
        <w:rPr>
          <w:rFonts w:hint="eastAsia"/>
        </w:rPr>
        <w:t>＜参考＞</w:t>
      </w:r>
      <w:hyperlink r:id="rId8" w:history="1">
        <w:r w:rsidRPr="005E319A">
          <w:rPr>
            <w:rStyle w:val="aa"/>
            <w:rFonts w:hint="eastAsia"/>
          </w:rPr>
          <w:t>厚生労働省「成年後見制度の現状」（平成</w:t>
        </w:r>
        <w:r w:rsidRPr="005E319A">
          <w:rPr>
            <w:rStyle w:val="aa"/>
            <w:rFonts w:hint="eastAsia"/>
          </w:rPr>
          <w:t>30</w:t>
        </w:r>
        <w:r w:rsidRPr="005E319A">
          <w:rPr>
            <w:rStyle w:val="aa"/>
            <w:rFonts w:hint="eastAsia"/>
          </w:rPr>
          <w:t>年）</w:t>
        </w:r>
      </w:hyperlink>
    </w:p>
    <w:p w:rsidR="00FA3D02" w:rsidRPr="005E319A" w:rsidRDefault="00FA3D02" w:rsidP="00FA3D02">
      <w:r w:rsidRPr="005E319A">
        <w:rPr>
          <w:rFonts w:hint="eastAsia"/>
        </w:rPr>
        <w:br/>
      </w:r>
      <w:r w:rsidRPr="005E319A">
        <w:rPr>
          <w:rFonts w:hint="eastAsia"/>
          <w:b/>
          <w:bCs/>
        </w:rPr>
        <w:t>Q:</w:t>
      </w:r>
      <w:r w:rsidRPr="005E319A">
        <w:rPr>
          <w:rFonts w:hint="eastAsia"/>
          <w:b/>
          <w:bCs/>
        </w:rPr>
        <w:t>認知症になる前に、将来の資産管理について備える方法はありますか？</w:t>
      </w:r>
      <w:r w:rsidRPr="005E319A">
        <w:rPr>
          <w:rFonts w:hint="eastAsia"/>
        </w:rPr>
        <w:br/>
        <w:t>--------</w:t>
      </w:r>
      <w:r w:rsidRPr="005E319A">
        <w:rPr>
          <w:rFonts w:hint="eastAsia"/>
        </w:rPr>
        <w:br/>
      </w:r>
      <w:r w:rsidRPr="005E319A">
        <w:rPr>
          <w:rFonts w:hint="eastAsia"/>
        </w:rPr>
        <w:t>「任意後見契約」と「家族信託」という、</w:t>
      </w:r>
      <w:r w:rsidRPr="005E319A">
        <w:rPr>
          <w:rFonts w:hint="eastAsia"/>
        </w:rPr>
        <w:t>2</w:t>
      </w:r>
      <w:r w:rsidRPr="005E319A">
        <w:rPr>
          <w:rFonts w:hint="eastAsia"/>
        </w:rPr>
        <w:t>つの方法があります。</w:t>
      </w:r>
    </w:p>
    <w:p w:rsidR="00FA3D02" w:rsidRPr="005E319A" w:rsidRDefault="00FA3D02" w:rsidP="00FA3D02">
      <w:r w:rsidRPr="005E319A">
        <w:rPr>
          <w:rFonts w:hint="eastAsia"/>
        </w:rPr>
        <w:t>まず、「任意後見契約」は、前述の「成年後見制度」に類するもので、自分の認知判断能力があるうちに、将来、認知判断能力が低下した場合に、「この人に後見人になってほしい」と予約しておくものです。</w:t>
      </w:r>
    </w:p>
    <w:p w:rsidR="00FA3D02" w:rsidRPr="005E319A" w:rsidRDefault="00FA3D02" w:rsidP="00FA3D02">
      <w:r w:rsidRPr="005E319A">
        <w:rPr>
          <w:rFonts w:hint="eastAsia"/>
        </w:rPr>
        <w:t>例えば「長男に財産の管理をしてほしい」などと、あらかじめ公正証書で契約を結んでおくと、長男が「任意後見人」となります。本人の判断能力がなくなった後に、任意後見人が家庭裁判所に申し立てを行い、任意後見人による管理が開始されます。</w:t>
      </w:r>
    </w:p>
    <w:p w:rsidR="00FA3D02" w:rsidRPr="005E319A" w:rsidRDefault="00FA3D02" w:rsidP="00FA3D02">
      <w:r w:rsidRPr="005E319A">
        <w:rPr>
          <w:rFonts w:hint="eastAsia"/>
        </w:rPr>
        <w:t>成年後見制度では、本人の認知判断能力が低下した後で始まるため、「誰に・どのような管理」を依頼するか、本人の意思表示ができません。</w:t>
      </w:r>
      <w:r w:rsidRPr="005E319A">
        <w:rPr>
          <w:rFonts w:hint="eastAsia"/>
        </w:rPr>
        <w:br/>
      </w:r>
      <w:r w:rsidRPr="005E319A">
        <w:rPr>
          <w:rFonts w:hint="eastAsia"/>
        </w:rPr>
        <w:t>一方、「任意後見契約」では、後見人の指名だけでなく、「これをしてほしい・してほしくない」などと、内容も指定できるため、本人の意向が尊重されやすいと言えます。また、居住用不動産を売却する場合も、家庭裁判所の許可を得ずに進められるなど、成年後見制度と比べて柔軟に対応しやすい部分もあります。</w:t>
      </w:r>
    </w:p>
    <w:p w:rsidR="00FA3D02" w:rsidRDefault="00FA3D02" w:rsidP="00FA3D02">
      <w:r w:rsidRPr="005E319A">
        <w:rPr>
          <w:rFonts w:hint="eastAsia"/>
        </w:rPr>
        <w:t>デメリットとしては、成年後見制度と同じく、家庭裁判所への定期的な報告が義務付けられるほか、業務開始と同時に「任意後見監督人」が家庭裁判所により選出されます。任意後見監督人も、弁護士や司法書士などの第三者が選ばれることが多いため、月額</w:t>
      </w:r>
      <w:r w:rsidRPr="005E319A">
        <w:rPr>
          <w:rFonts w:hint="eastAsia"/>
        </w:rPr>
        <w:t>1</w:t>
      </w:r>
      <w:r w:rsidRPr="005E319A">
        <w:rPr>
          <w:rFonts w:hint="eastAsia"/>
        </w:rPr>
        <w:t>万円～</w:t>
      </w:r>
      <w:r w:rsidRPr="005E319A">
        <w:rPr>
          <w:rFonts w:hint="eastAsia"/>
        </w:rPr>
        <w:t>1</w:t>
      </w:r>
      <w:r w:rsidRPr="005E319A">
        <w:rPr>
          <w:rFonts w:hint="eastAsia"/>
        </w:rPr>
        <w:t>万</w:t>
      </w:r>
      <w:r w:rsidRPr="005E319A">
        <w:rPr>
          <w:rFonts w:hint="eastAsia"/>
        </w:rPr>
        <w:t>5000</w:t>
      </w:r>
      <w:r w:rsidRPr="005E319A">
        <w:rPr>
          <w:rFonts w:hint="eastAsia"/>
        </w:rPr>
        <w:t>円の報酬が発生します。</w:t>
      </w:r>
    </w:p>
    <w:p w:rsidR="00FA3D02" w:rsidRDefault="00FA3D02" w:rsidP="00FA3D02"/>
    <w:p w:rsidR="00FA3D02" w:rsidRPr="005E319A" w:rsidRDefault="00FA3D02" w:rsidP="00FA3D02"/>
    <w:p w:rsidR="00FA3D02" w:rsidRPr="005E319A" w:rsidRDefault="00FA3D02" w:rsidP="00FA3D02">
      <w:r w:rsidRPr="005E319A">
        <w:rPr>
          <w:rFonts w:hint="eastAsia"/>
          <w:b/>
          <w:bCs/>
        </w:rPr>
        <w:t>Q:</w:t>
      </w:r>
      <w:r w:rsidRPr="005E319A">
        <w:rPr>
          <w:rFonts w:hint="eastAsia"/>
          <w:b/>
          <w:bCs/>
        </w:rPr>
        <w:t>認知症の資産管理対策のもう一つの方法である「家族信託」について教えてください。</w:t>
      </w:r>
      <w:r w:rsidRPr="005E319A">
        <w:rPr>
          <w:rFonts w:hint="eastAsia"/>
        </w:rPr>
        <w:br/>
        <w:t>--------</w:t>
      </w:r>
      <w:r w:rsidRPr="005E319A">
        <w:rPr>
          <w:rFonts w:hint="eastAsia"/>
        </w:rPr>
        <w:br/>
      </w:r>
      <w:r w:rsidRPr="005E319A">
        <w:rPr>
          <w:rFonts w:hint="eastAsia"/>
        </w:rPr>
        <w:t>「信託」といっても金融商品ではなく、公正証書として作成します。</w:t>
      </w:r>
    </w:p>
    <w:p w:rsidR="00FA3D02" w:rsidRPr="005E319A" w:rsidRDefault="00FA3D02" w:rsidP="00FA3D02">
      <w:r w:rsidRPr="005E319A">
        <w:rPr>
          <w:rFonts w:hint="eastAsia"/>
        </w:rPr>
        <w:t>任意後見契約と同じく、本人の判断能力があるうちから、親族など希望する相手に、財産の管理・運用・処分をする権利を託す契約を結びます。「本人＝委託者」「託された人＝受託者」となり、例えば、預金の管理を託された場合、受託者が銀行から引き出し、委託者（本人）に給付します。「財産から利益を得る人＝受益者」は本人（委託者）が決めることができ、本人やその配偶者などが受益者になることがありますが、本人以外の場合も生前贈与とは異なります。</w:t>
      </w:r>
    </w:p>
    <w:p w:rsidR="00FA3D02" w:rsidRPr="005E319A" w:rsidRDefault="00FA3D02" w:rsidP="00FA3D02">
      <w:r w:rsidRPr="005E319A">
        <w:rPr>
          <w:rFonts w:hint="eastAsia"/>
        </w:rPr>
        <w:t>任せる財産は、すべてか一部かを選ぶことができ、預貯金の管理や不動産の売買などが含まれます。例えば、相続対策として所有しているマンションがあり、大規模修繕などでまとまった金額を動かす必要がある場合などでも、受託者の判断でスムーズに行うことができます。</w:t>
      </w:r>
    </w:p>
    <w:p w:rsidR="00FA3D02" w:rsidRDefault="00FA3D02" w:rsidP="00FA3D02">
      <w:r w:rsidRPr="005E319A">
        <w:rPr>
          <w:rFonts w:hint="eastAsia"/>
        </w:rPr>
        <w:t>成年後見人制度や任意後見契約と異なるのは、家庭裁判所への報告や、第三者の監督者をたてる義務が課されない点です。受託者は大きな権限を持つため、失敗や不正は、本人の利益を損なう可能性があります。そのため、信頼して財産を託すことができる家族がいるかどうかが重要です。</w:t>
      </w:r>
    </w:p>
    <w:p w:rsidR="00FA3D02" w:rsidRDefault="00FA3D02" w:rsidP="00FA3D02"/>
    <w:p w:rsidR="00FA3D02" w:rsidRPr="005E319A" w:rsidRDefault="00FA3D02" w:rsidP="00FA3D02"/>
    <w:p w:rsidR="00FA3D02" w:rsidRPr="005E319A" w:rsidRDefault="00FA3D02" w:rsidP="00FA3D02">
      <w:r w:rsidRPr="005E319A">
        <w:rPr>
          <w:rFonts w:hint="eastAsia"/>
          <w:b/>
          <w:bCs/>
        </w:rPr>
        <w:t>Q:</w:t>
      </w:r>
      <w:r w:rsidRPr="005E319A">
        <w:rPr>
          <w:rFonts w:hint="eastAsia"/>
          <w:b/>
          <w:bCs/>
        </w:rPr>
        <w:t>認知症患者を介護する家族からは銀行に対してもっと柔軟な対応を求める声は多くあります。今回の</w:t>
      </w:r>
      <w:r w:rsidRPr="005E319A">
        <w:rPr>
          <w:rFonts w:hint="eastAsia"/>
          <w:b/>
          <w:bCs/>
        </w:rPr>
        <w:lastRenderedPageBreak/>
        <w:t>指針がきっかけとなり、これから便利になるのでしょうか。</w:t>
      </w:r>
      <w:r w:rsidRPr="005E319A">
        <w:rPr>
          <w:rFonts w:hint="eastAsia"/>
        </w:rPr>
        <w:br/>
        <w:t>--------</w:t>
      </w:r>
      <w:r w:rsidRPr="005E319A">
        <w:rPr>
          <w:rFonts w:hint="eastAsia"/>
        </w:rPr>
        <w:br/>
      </w:r>
      <w:r w:rsidRPr="005E319A">
        <w:rPr>
          <w:rFonts w:hint="eastAsia"/>
        </w:rPr>
        <w:t>認知症患者は</w:t>
      </w:r>
      <w:r w:rsidRPr="005E319A">
        <w:rPr>
          <w:rFonts w:hint="eastAsia"/>
        </w:rPr>
        <w:t>2025</w:t>
      </w:r>
      <w:r w:rsidRPr="005E319A">
        <w:rPr>
          <w:rFonts w:hint="eastAsia"/>
        </w:rPr>
        <w:t>年に約</w:t>
      </w:r>
      <w:r w:rsidRPr="005E319A">
        <w:rPr>
          <w:rFonts w:hint="eastAsia"/>
        </w:rPr>
        <w:t>700</w:t>
      </w:r>
      <w:r w:rsidRPr="005E319A">
        <w:rPr>
          <w:rFonts w:hint="eastAsia"/>
        </w:rPr>
        <w:t>万人に増えるといわれ、その金融資産額は、</w:t>
      </w:r>
      <w:r w:rsidRPr="005E319A">
        <w:rPr>
          <w:rFonts w:hint="eastAsia"/>
        </w:rPr>
        <w:t>2030</w:t>
      </w:r>
      <w:r w:rsidRPr="005E319A">
        <w:rPr>
          <w:rFonts w:hint="eastAsia"/>
        </w:rPr>
        <w:t>年に</w:t>
      </w:r>
      <w:r w:rsidRPr="005E319A">
        <w:rPr>
          <w:rFonts w:hint="eastAsia"/>
        </w:rPr>
        <w:t>215</w:t>
      </w:r>
      <w:r w:rsidRPr="005E319A">
        <w:rPr>
          <w:rFonts w:hint="eastAsia"/>
        </w:rPr>
        <w:t>兆円にも上るという試算（第一生命経済研究所、</w:t>
      </w:r>
      <w:r w:rsidRPr="005E319A">
        <w:rPr>
          <w:rFonts w:hint="eastAsia"/>
        </w:rPr>
        <w:t>2018</w:t>
      </w:r>
      <w:r w:rsidRPr="005E319A">
        <w:rPr>
          <w:rFonts w:hint="eastAsia"/>
        </w:rPr>
        <w:t>年※）もあります。金融機関において認知症の対応は、避けては通れない重要な課題となっており、今後、各銀行から新たなサービスが打ち出されるでしょう。</w:t>
      </w:r>
    </w:p>
    <w:p w:rsidR="00FA3D02" w:rsidRPr="005E319A" w:rsidRDefault="00FA3D02" w:rsidP="00FA3D02">
      <w:r w:rsidRPr="005E319A">
        <w:rPr>
          <w:rFonts w:hint="eastAsia"/>
        </w:rPr>
        <w:t>何よりも期待されるのは、資産を所有する本人にとって、使い勝手がよくなることです。全国銀行協会の指針では、銀行が自治体や地域の福祉機関との連携を強化することも求め、相談しやすい環境を整えることも盛り込んでいます。</w:t>
      </w:r>
    </w:p>
    <w:p w:rsidR="00FA3D02" w:rsidRPr="005E319A" w:rsidRDefault="00FA3D02" w:rsidP="00FA3D02">
      <w:r w:rsidRPr="005E319A">
        <w:rPr>
          <w:rFonts w:hint="eastAsia"/>
        </w:rPr>
        <w:t>今回の指針は、介護する家族の実情をくんだ内容と言えますが、法的な代理権のない親族に、一定の条件や手続きを求めるというルールは、本人の財産を守るために今後も変えようがなく、介護する家族側の利便性のみを追求することは難しいでしょう。</w:t>
      </w:r>
    </w:p>
    <w:p w:rsidR="00FA3D02" w:rsidRPr="005E319A" w:rsidRDefault="00FA3D02" w:rsidP="00FA3D02">
      <w:r w:rsidRPr="005E319A">
        <w:rPr>
          <w:rFonts w:hint="eastAsia"/>
        </w:rPr>
        <w:t>各銀行のサービスは、全国一律ではなく個別に検討されるため、利用する金融機関では、「どの範囲までの引き出しが可能なのか」「手続きのために必要な書類は何か」など、普段からこまめに確認しておきましょう。その上で、家族が元気なうちに、万が一に備えたお金の管理について話し合えるといいですね。</w:t>
      </w:r>
    </w:p>
    <w:p w:rsidR="00FA3D02" w:rsidRPr="005E319A" w:rsidRDefault="00FA3D02" w:rsidP="00FA3D02"/>
    <w:p w:rsidR="00753D5D" w:rsidRDefault="00753D5D" w:rsidP="00C910D0"/>
    <w:p w:rsidR="00F809A5" w:rsidRPr="00446E5C" w:rsidRDefault="00446E5C" w:rsidP="00F809A5">
      <w:pPr>
        <w:rPr>
          <w:sz w:val="32"/>
          <w:szCs w:val="32"/>
          <w:bdr w:val="single" w:sz="4" w:space="0" w:color="auto"/>
        </w:rPr>
      </w:pPr>
      <w:r w:rsidRPr="00446E5C">
        <w:rPr>
          <w:sz w:val="32"/>
          <w:szCs w:val="32"/>
          <w:bdr w:val="single" w:sz="4" w:space="0" w:color="auto"/>
        </w:rPr>
        <w:t>申請手続き</w:t>
      </w:r>
    </w:p>
    <w:p w:rsidR="00F809A5" w:rsidRDefault="00F809A5" w:rsidP="00F809A5">
      <w:r>
        <w:rPr>
          <w:rFonts w:hint="eastAsia"/>
        </w:rPr>
        <w:t>・本人の住所地を管轄する家庭裁判所に、後見開始の審判、保佐開始の審判又は補助開始の審判の申立てをすることが必要です。</w:t>
      </w:r>
    </w:p>
    <w:p w:rsidR="00F809A5" w:rsidRDefault="00F809A5" w:rsidP="00F809A5">
      <w:r>
        <w:rPr>
          <w:rFonts w:hint="eastAsia"/>
        </w:rPr>
        <w:t>・申立てができるのは、本人、配偶者、</w:t>
      </w:r>
      <w:r>
        <w:rPr>
          <w:rFonts w:hint="eastAsia"/>
        </w:rPr>
        <w:t xml:space="preserve">4 </w:t>
      </w:r>
      <w:r>
        <w:rPr>
          <w:rFonts w:hint="eastAsia"/>
        </w:rPr>
        <w:t>親等内の親族等です。</w:t>
      </w:r>
      <w:r>
        <w:rPr>
          <w:rFonts w:hint="eastAsia"/>
        </w:rPr>
        <w:t xml:space="preserve">65 </w:t>
      </w:r>
      <w:r>
        <w:rPr>
          <w:rFonts w:hint="eastAsia"/>
        </w:rPr>
        <w:t>歳以上の者、知的障害者及び精神障害者につき、その福祉を図るため特に必要があると認めるときは、市町村長も申立てを行うことができます。</w:t>
      </w:r>
    </w:p>
    <w:p w:rsidR="00F809A5" w:rsidRDefault="00F809A5" w:rsidP="00F809A5">
      <w:r>
        <w:rPr>
          <w:rFonts w:hint="eastAsia"/>
        </w:rPr>
        <w:t>（説明）</w:t>
      </w:r>
    </w:p>
    <w:p w:rsidR="00446E5C" w:rsidRDefault="00F809A5" w:rsidP="00F809A5">
      <w:r>
        <w:rPr>
          <w:rFonts w:hint="eastAsia"/>
        </w:rPr>
        <w:t>・一般的に申立てに必要とされる書類は次のとおりです。</w:t>
      </w:r>
      <w:r>
        <w:rPr>
          <w:rFonts w:hint="eastAsia"/>
        </w:rPr>
        <w:t>(6)</w:t>
      </w:r>
      <w:r>
        <w:rPr>
          <w:rFonts w:hint="eastAsia"/>
        </w:rPr>
        <w:t>は後見人等の候補者がいる場合に添付します。</w:t>
      </w:r>
    </w:p>
    <w:p w:rsidR="00446E5C" w:rsidRDefault="00F809A5" w:rsidP="00F809A5">
      <w:r>
        <w:rPr>
          <w:rFonts w:hint="eastAsia"/>
        </w:rPr>
        <w:t xml:space="preserve">(1) </w:t>
      </w:r>
      <w:r>
        <w:rPr>
          <w:rFonts w:hint="eastAsia"/>
        </w:rPr>
        <w:t>申立書（申立書のほか、各家庭裁判所が定める書式（財産目録、収支予定表、事情説明書、親族関係図等）への記入や、その他の書面の提出を求められることがあります。）</w:t>
      </w:r>
    </w:p>
    <w:p w:rsidR="00446E5C" w:rsidRDefault="00F809A5" w:rsidP="00F809A5">
      <w:r>
        <w:rPr>
          <w:rFonts w:hint="eastAsia"/>
        </w:rPr>
        <w:t xml:space="preserve">(2) </w:t>
      </w:r>
      <w:r>
        <w:rPr>
          <w:rFonts w:hint="eastAsia"/>
        </w:rPr>
        <w:t>本人の戸籍謄本（全部事項証明書）</w:t>
      </w:r>
    </w:p>
    <w:p w:rsidR="00446E5C" w:rsidRDefault="00F809A5" w:rsidP="00F809A5">
      <w:r>
        <w:rPr>
          <w:rFonts w:hint="eastAsia"/>
        </w:rPr>
        <w:t xml:space="preserve">(3) </w:t>
      </w:r>
      <w:r>
        <w:rPr>
          <w:rFonts w:hint="eastAsia"/>
        </w:rPr>
        <w:t>本人の住民票又は戸籍附票</w:t>
      </w:r>
    </w:p>
    <w:p w:rsidR="00446E5C" w:rsidRDefault="00F809A5" w:rsidP="00F809A5">
      <w:r>
        <w:rPr>
          <w:rFonts w:hint="eastAsia"/>
        </w:rPr>
        <w:t xml:space="preserve">(4) </w:t>
      </w:r>
      <w:r>
        <w:rPr>
          <w:rFonts w:hint="eastAsia"/>
        </w:rPr>
        <w:t>本人の成年後見等に関する登記がされていないことの証明書</w:t>
      </w:r>
    </w:p>
    <w:p w:rsidR="00446E5C" w:rsidRDefault="00F809A5" w:rsidP="00F809A5">
      <w:r>
        <w:rPr>
          <w:rFonts w:hint="eastAsia"/>
        </w:rPr>
        <w:t xml:space="preserve">(5) </w:t>
      </w:r>
      <w:r>
        <w:rPr>
          <w:rFonts w:hint="eastAsia"/>
        </w:rPr>
        <w:t>本人の診断書（家庭裁判所が定める様式のもの。）</w:t>
      </w:r>
    </w:p>
    <w:p w:rsidR="00446E5C" w:rsidRDefault="00F809A5" w:rsidP="00F809A5">
      <w:r>
        <w:rPr>
          <w:rFonts w:hint="eastAsia"/>
        </w:rPr>
        <w:t xml:space="preserve">(6) </w:t>
      </w:r>
      <w:r>
        <w:rPr>
          <w:rFonts w:hint="eastAsia"/>
        </w:rPr>
        <w:t>後見人・保佐人・補助人候補者の住民票又は戸籍附票</w:t>
      </w:r>
    </w:p>
    <w:p w:rsidR="00F809A5" w:rsidRDefault="00F809A5" w:rsidP="00F809A5">
      <w:r>
        <w:rPr>
          <w:rFonts w:hint="eastAsia"/>
        </w:rPr>
        <w:t xml:space="preserve">(7) </w:t>
      </w:r>
      <w:r>
        <w:rPr>
          <w:rFonts w:hint="eastAsia"/>
        </w:rPr>
        <w:t>本人の財産に関する資料</w:t>
      </w:r>
    </w:p>
    <w:p w:rsidR="00F809A5" w:rsidRDefault="00F809A5" w:rsidP="00F809A5">
      <w:r>
        <w:rPr>
          <w:rFonts w:hint="eastAsia"/>
        </w:rPr>
        <w:t>・必要に応じて、保佐人の同意権拡張の審判（民法第</w:t>
      </w:r>
      <w:r>
        <w:rPr>
          <w:rFonts w:hint="eastAsia"/>
        </w:rPr>
        <w:t>13</w:t>
      </w:r>
      <w:r>
        <w:rPr>
          <w:rFonts w:hint="eastAsia"/>
        </w:rPr>
        <w:t>条に規定された事項以外にも同意を必要とする場合）、保佐人に代理権を付与する審判、補助人に同意権を付与する審判及び補助人に代理権を付与する審判の申立てもすることになります。</w:t>
      </w:r>
    </w:p>
    <w:p w:rsidR="00F809A5" w:rsidRDefault="00F809A5" w:rsidP="00F809A5">
      <w:r>
        <w:rPr>
          <w:rFonts w:hint="eastAsia"/>
        </w:rPr>
        <w:t>・審判の内容は、裁判所の嘱託により成年後見登記に記載されますが、戸籍等に記載されることはありません。</w:t>
      </w:r>
    </w:p>
    <w:p w:rsidR="006E4CF1" w:rsidRDefault="006E4CF1" w:rsidP="006E4CF1"/>
    <w:p w:rsidR="00EE1ED8" w:rsidRDefault="00EE1ED8" w:rsidP="006E4CF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3709035</wp:posOffset>
                </wp:positionH>
                <wp:positionV relativeFrom="paragraph">
                  <wp:posOffset>32385</wp:posOffset>
                </wp:positionV>
                <wp:extent cx="2466975" cy="619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669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ED8" w:rsidRDefault="00EE1ED8">
                            <w:r w:rsidRPr="00EE1ED8">
                              <w:rPr>
                                <w:rFonts w:hint="eastAsia"/>
                              </w:rPr>
                              <w:t>弁護士法人岡山パブリック法律事務所</w:t>
                            </w:r>
                          </w:p>
                          <w:p w:rsidR="00EE1ED8" w:rsidRDefault="00EE1ED8">
                            <w:pPr>
                              <w:rPr>
                                <w:rFonts w:hint="eastAsia"/>
                              </w:rPr>
                            </w:pPr>
                            <w:r>
                              <w:rPr>
                                <w:rFonts w:hint="eastAsia"/>
                              </w:rPr>
                              <w:t xml:space="preserve">　</w:t>
                            </w:r>
                            <w:r>
                              <w:t xml:space="preserve">　</w:t>
                            </w:r>
                            <w:r>
                              <w:rPr>
                                <w:rFonts w:hint="eastAsia"/>
                              </w:rPr>
                              <w:t>086-</w:t>
                            </w:r>
                            <w:r>
                              <w:t>231-1141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2.05pt;margin-top:2.55pt;width:194.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" fillcolor="white [3201]" strokeweight=".5pt">
                <v:textbox>
                  <w:txbxContent>
                    <w:p w:rsidR="00EE1ED8" w:rsidRDefault="00EE1ED8">
                      <w:r w:rsidRPr="00EE1ED8">
                        <w:rPr>
                          <w:rFonts w:hint="eastAsia"/>
                        </w:rPr>
                        <w:t>弁護士法人岡山パブリック法律事務所</w:t>
                      </w:r>
                    </w:p>
                    <w:p w:rsidR="00EE1ED8" w:rsidRDefault="00EE1ED8">
                      <w:pPr>
                        <w:rPr>
                          <w:rFonts w:hint="eastAsia"/>
                        </w:rPr>
                      </w:pPr>
                      <w:r>
                        <w:rPr>
                          <w:rFonts w:hint="eastAsia"/>
                        </w:rPr>
                        <w:t xml:space="preserve">　</w:t>
                      </w:r>
                      <w:r>
                        <w:t xml:space="preserve">　</w:t>
                      </w:r>
                      <w:r>
                        <w:rPr>
                          <w:rFonts w:hint="eastAsia"/>
                        </w:rPr>
                        <w:t>086-</w:t>
                      </w:r>
                      <w:r>
                        <w:t>231-1141</w:t>
                      </w:r>
                    </w:p>
                  </w:txbxContent>
                </v:textbox>
              </v:shape>
            </w:pict>
          </mc:Fallback>
        </mc:AlternateContent>
      </w:r>
      <w:r w:rsidR="006E4CF1">
        <w:rPr>
          <w:rFonts w:hint="eastAsia"/>
        </w:rPr>
        <w:t>NPO</w:t>
      </w:r>
      <w:r w:rsidR="006E4CF1">
        <w:rPr>
          <w:rFonts w:hint="eastAsia"/>
        </w:rPr>
        <w:t>法人岡山高齢者・障害者支援ネットワーク</w:t>
      </w:r>
      <w:r w:rsidR="006E4CF1">
        <w:rPr>
          <w:rFonts w:hint="eastAsia"/>
        </w:rPr>
        <w:t xml:space="preserve">　</w:t>
      </w:r>
    </w:p>
    <w:p w:rsidR="00EE1ED8" w:rsidRDefault="006E4CF1" w:rsidP="006E4CF1">
      <w:r>
        <w:rPr>
          <w:rFonts w:hint="eastAsia"/>
        </w:rPr>
        <w:t>〒</w:t>
      </w:r>
      <w:r>
        <w:rPr>
          <w:rFonts w:hint="eastAsia"/>
        </w:rPr>
        <w:t xml:space="preserve">700-0807 </w:t>
      </w:r>
      <w:r>
        <w:rPr>
          <w:rFonts w:hint="eastAsia"/>
        </w:rPr>
        <w:t>岡山市北区南方</w:t>
      </w:r>
      <w:r>
        <w:rPr>
          <w:rFonts w:hint="eastAsia"/>
        </w:rPr>
        <w:t>3</w:t>
      </w:r>
      <w:r>
        <w:rPr>
          <w:rFonts w:hint="eastAsia"/>
        </w:rPr>
        <w:t>丁目</w:t>
      </w:r>
      <w:r>
        <w:rPr>
          <w:rFonts w:hint="eastAsia"/>
        </w:rPr>
        <w:t>5</w:t>
      </w:r>
      <w:r>
        <w:rPr>
          <w:rFonts w:hint="eastAsia"/>
        </w:rPr>
        <w:t>番</w:t>
      </w:r>
      <w:r>
        <w:rPr>
          <w:rFonts w:hint="eastAsia"/>
        </w:rPr>
        <w:t>25</w:t>
      </w:r>
      <w:r>
        <w:rPr>
          <w:rFonts w:hint="eastAsia"/>
        </w:rPr>
        <w:t>号</w:t>
      </w:r>
      <w:r w:rsidR="00EE1ED8">
        <w:rPr>
          <w:rFonts w:hint="eastAsia"/>
        </w:rPr>
        <w:t xml:space="preserve">　</w:t>
      </w:r>
    </w:p>
    <w:p w:rsidR="006E4CF1" w:rsidRDefault="00EE1ED8" w:rsidP="006E4CF1">
      <w:r>
        <w:rPr>
          <w:rFonts w:hint="eastAsia"/>
        </w:rPr>
        <w:t xml:space="preserve">　　</w:t>
      </w:r>
    </w:p>
    <w:p w:rsidR="006E4CF1" w:rsidRDefault="006E4CF1" w:rsidP="006E4CF1">
      <w:r>
        <w:rPr>
          <w:rFonts w:hint="eastAsia"/>
        </w:rPr>
        <w:t xml:space="preserve">公益財団法人　岡山県社会福祉士会　</w:t>
      </w:r>
      <w:r w:rsidRPr="006E4CF1">
        <w:rPr>
          <w:rFonts w:hint="eastAsia"/>
        </w:rPr>
        <w:t>ぱあとなあ岡山</w:t>
      </w:r>
    </w:p>
    <w:p w:rsidR="006E4CF1" w:rsidRDefault="006E4CF1" w:rsidP="006E4CF1">
      <w:r>
        <w:rPr>
          <w:rFonts w:hint="eastAsia"/>
        </w:rPr>
        <w:t>相談専用ダイヤル　ＴＥＬ：０９０－９７３０－５６１６</w:t>
      </w:r>
    </w:p>
    <w:p w:rsidR="006E4CF1" w:rsidRPr="006E4CF1" w:rsidRDefault="006E4CF1" w:rsidP="006E4CF1">
      <w:pPr>
        <w:rPr>
          <w:rFonts w:hint="eastAsia"/>
        </w:rPr>
      </w:pPr>
      <w:bookmarkStart w:id="0" w:name="_GoBack"/>
      <w:bookmarkEnd w:id="0"/>
    </w:p>
    <w:sectPr w:rsidR="006E4CF1" w:rsidRPr="006E4CF1" w:rsidSect="000538FF">
      <w:footerReference w:type="default" r:id="rId9"/>
      <w:pgSz w:w="11906" w:h="16838" w:code="9"/>
      <w:pgMar w:top="1134" w:right="1134" w:bottom="1134" w:left="1134" w:header="851" w:footer="992"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DD" w:rsidRDefault="009C76DD" w:rsidP="00034433">
      <w:r>
        <w:separator/>
      </w:r>
    </w:p>
  </w:endnote>
  <w:endnote w:type="continuationSeparator" w:id="0">
    <w:p w:rsidR="009C76DD" w:rsidRDefault="009C76DD" w:rsidP="0003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276562"/>
      <w:docPartObj>
        <w:docPartGallery w:val="Page Numbers (Bottom of Page)"/>
        <w:docPartUnique/>
      </w:docPartObj>
    </w:sdtPr>
    <w:sdtEndPr/>
    <w:sdtContent>
      <w:p w:rsidR="002D649B" w:rsidRDefault="002D649B">
        <w:pPr>
          <w:pStyle w:val="a5"/>
          <w:jc w:val="center"/>
        </w:pPr>
        <w:r>
          <w:fldChar w:fldCharType="begin"/>
        </w:r>
        <w:r>
          <w:instrText>PAGE   \* MERGEFORMAT</w:instrText>
        </w:r>
        <w:r>
          <w:fldChar w:fldCharType="separate"/>
        </w:r>
        <w:r w:rsidR="00EE1ED8" w:rsidRPr="00EE1ED8">
          <w:rPr>
            <w:noProof/>
            <w:lang w:val="ja-JP"/>
          </w:rPr>
          <w:t>6</w:t>
        </w:r>
        <w:r>
          <w:fldChar w:fldCharType="end"/>
        </w:r>
      </w:p>
    </w:sdtContent>
  </w:sdt>
  <w:p w:rsidR="002D649B" w:rsidRDefault="002D64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DD" w:rsidRDefault="009C76DD" w:rsidP="00034433">
      <w:r>
        <w:separator/>
      </w:r>
    </w:p>
  </w:footnote>
  <w:footnote w:type="continuationSeparator" w:id="0">
    <w:p w:rsidR="009C76DD" w:rsidRDefault="009C76DD" w:rsidP="00034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1EE0"/>
    <w:multiLevelType w:val="multilevel"/>
    <w:tmpl w:val="596E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27B47"/>
    <w:multiLevelType w:val="multilevel"/>
    <w:tmpl w:val="3B46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BB6F80"/>
    <w:multiLevelType w:val="multilevel"/>
    <w:tmpl w:val="9F62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D0"/>
    <w:rsid w:val="0001474F"/>
    <w:rsid w:val="00034433"/>
    <w:rsid w:val="000538FF"/>
    <w:rsid w:val="000B5081"/>
    <w:rsid w:val="00120F7B"/>
    <w:rsid w:val="001B3B88"/>
    <w:rsid w:val="001D5E91"/>
    <w:rsid w:val="00262ED2"/>
    <w:rsid w:val="002A2D0A"/>
    <w:rsid w:val="002B070F"/>
    <w:rsid w:val="002D649B"/>
    <w:rsid w:val="002E1398"/>
    <w:rsid w:val="002F2375"/>
    <w:rsid w:val="00327FA8"/>
    <w:rsid w:val="00360415"/>
    <w:rsid w:val="003761E8"/>
    <w:rsid w:val="003961AA"/>
    <w:rsid w:val="003A4155"/>
    <w:rsid w:val="003D464A"/>
    <w:rsid w:val="003E13CF"/>
    <w:rsid w:val="003F067F"/>
    <w:rsid w:val="0040461F"/>
    <w:rsid w:val="00446E5C"/>
    <w:rsid w:val="004702C3"/>
    <w:rsid w:val="004B1607"/>
    <w:rsid w:val="004C282A"/>
    <w:rsid w:val="004F1B94"/>
    <w:rsid w:val="00537418"/>
    <w:rsid w:val="00594605"/>
    <w:rsid w:val="006447A8"/>
    <w:rsid w:val="006835E9"/>
    <w:rsid w:val="006C4D0F"/>
    <w:rsid w:val="006E4CF1"/>
    <w:rsid w:val="006F7082"/>
    <w:rsid w:val="00715838"/>
    <w:rsid w:val="00735F7F"/>
    <w:rsid w:val="00747B5B"/>
    <w:rsid w:val="00753D5D"/>
    <w:rsid w:val="00764664"/>
    <w:rsid w:val="007D47BA"/>
    <w:rsid w:val="007F3991"/>
    <w:rsid w:val="00800B11"/>
    <w:rsid w:val="00834504"/>
    <w:rsid w:val="008553F9"/>
    <w:rsid w:val="009077D8"/>
    <w:rsid w:val="00913748"/>
    <w:rsid w:val="00931F51"/>
    <w:rsid w:val="00936257"/>
    <w:rsid w:val="00980D85"/>
    <w:rsid w:val="009A0A3B"/>
    <w:rsid w:val="009C4288"/>
    <w:rsid w:val="009C7204"/>
    <w:rsid w:val="009C76DD"/>
    <w:rsid w:val="00A56C59"/>
    <w:rsid w:val="00A56FB2"/>
    <w:rsid w:val="00AD4847"/>
    <w:rsid w:val="00AF3759"/>
    <w:rsid w:val="00B06C9A"/>
    <w:rsid w:val="00B31156"/>
    <w:rsid w:val="00B71E51"/>
    <w:rsid w:val="00BF456F"/>
    <w:rsid w:val="00C12E6B"/>
    <w:rsid w:val="00C27671"/>
    <w:rsid w:val="00C61DBB"/>
    <w:rsid w:val="00C700FF"/>
    <w:rsid w:val="00C83669"/>
    <w:rsid w:val="00C910D0"/>
    <w:rsid w:val="00CA4339"/>
    <w:rsid w:val="00CA644D"/>
    <w:rsid w:val="00CF2134"/>
    <w:rsid w:val="00D01CB1"/>
    <w:rsid w:val="00D01D11"/>
    <w:rsid w:val="00D0337E"/>
    <w:rsid w:val="00D77ABB"/>
    <w:rsid w:val="00DA45DF"/>
    <w:rsid w:val="00DD311B"/>
    <w:rsid w:val="00DD593F"/>
    <w:rsid w:val="00DE64C5"/>
    <w:rsid w:val="00E16392"/>
    <w:rsid w:val="00E26BED"/>
    <w:rsid w:val="00E43AAB"/>
    <w:rsid w:val="00E63D02"/>
    <w:rsid w:val="00E86084"/>
    <w:rsid w:val="00E936E5"/>
    <w:rsid w:val="00EE1ED8"/>
    <w:rsid w:val="00F07CFE"/>
    <w:rsid w:val="00F2630D"/>
    <w:rsid w:val="00F547DA"/>
    <w:rsid w:val="00F673DD"/>
    <w:rsid w:val="00F809A5"/>
    <w:rsid w:val="00FA3D02"/>
    <w:rsid w:val="00FA6067"/>
    <w:rsid w:val="00FB1CF5"/>
    <w:rsid w:val="00FF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CD16DB-9EEF-4147-8968-98652793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433"/>
    <w:pPr>
      <w:tabs>
        <w:tab w:val="center" w:pos="4252"/>
        <w:tab w:val="right" w:pos="8504"/>
      </w:tabs>
      <w:snapToGrid w:val="0"/>
    </w:pPr>
  </w:style>
  <w:style w:type="character" w:customStyle="1" w:styleId="a4">
    <w:name w:val="ヘッダー (文字)"/>
    <w:basedOn w:val="a0"/>
    <w:link w:val="a3"/>
    <w:uiPriority w:val="99"/>
    <w:rsid w:val="00034433"/>
  </w:style>
  <w:style w:type="paragraph" w:styleId="a5">
    <w:name w:val="footer"/>
    <w:basedOn w:val="a"/>
    <w:link w:val="a6"/>
    <w:uiPriority w:val="99"/>
    <w:unhideWhenUsed/>
    <w:rsid w:val="00034433"/>
    <w:pPr>
      <w:tabs>
        <w:tab w:val="center" w:pos="4252"/>
        <w:tab w:val="right" w:pos="8504"/>
      </w:tabs>
      <w:snapToGrid w:val="0"/>
    </w:pPr>
  </w:style>
  <w:style w:type="character" w:customStyle="1" w:styleId="a6">
    <w:name w:val="フッター (文字)"/>
    <w:basedOn w:val="a0"/>
    <w:link w:val="a5"/>
    <w:uiPriority w:val="99"/>
    <w:rsid w:val="00034433"/>
  </w:style>
  <w:style w:type="paragraph" w:customStyle="1" w:styleId="mid">
    <w:name w:val="mid"/>
    <w:basedOn w:val="a"/>
    <w:rsid w:val="00DD59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un">
    <w:name w:val="bun"/>
    <w:basedOn w:val="a"/>
    <w:rsid w:val="00DD59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56F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6FB2"/>
    <w:rPr>
      <w:rFonts w:asciiTheme="majorHAnsi" w:eastAsiaTheme="majorEastAsia" w:hAnsiTheme="majorHAnsi" w:cstheme="majorBidi"/>
      <w:sz w:val="18"/>
      <w:szCs w:val="18"/>
    </w:rPr>
  </w:style>
  <w:style w:type="table" w:styleId="a9">
    <w:name w:val="Table Grid"/>
    <w:basedOn w:val="a1"/>
    <w:uiPriority w:val="39"/>
    <w:rsid w:val="00327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A3D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3794">
      <w:bodyDiv w:val="1"/>
      <w:marLeft w:val="0"/>
      <w:marRight w:val="0"/>
      <w:marTop w:val="0"/>
      <w:marBottom w:val="0"/>
      <w:divBdr>
        <w:top w:val="none" w:sz="0" w:space="0" w:color="auto"/>
        <w:left w:val="none" w:sz="0" w:space="0" w:color="auto"/>
        <w:bottom w:val="none" w:sz="0" w:space="0" w:color="auto"/>
        <w:right w:val="none" w:sz="0" w:space="0" w:color="auto"/>
      </w:divBdr>
    </w:div>
    <w:div w:id="508107537">
      <w:bodyDiv w:val="1"/>
      <w:marLeft w:val="0"/>
      <w:marRight w:val="0"/>
      <w:marTop w:val="0"/>
      <w:marBottom w:val="0"/>
      <w:divBdr>
        <w:top w:val="none" w:sz="0" w:space="0" w:color="auto"/>
        <w:left w:val="none" w:sz="0" w:space="0" w:color="auto"/>
        <w:bottom w:val="none" w:sz="0" w:space="0" w:color="auto"/>
        <w:right w:val="none" w:sz="0" w:space="0" w:color="auto"/>
      </w:divBdr>
      <w:divsChild>
        <w:div w:id="384568278">
          <w:marLeft w:val="0"/>
          <w:marRight w:val="0"/>
          <w:marTop w:val="0"/>
          <w:marBottom w:val="0"/>
          <w:divBdr>
            <w:top w:val="none" w:sz="0" w:space="0" w:color="auto"/>
            <w:left w:val="none" w:sz="0" w:space="0" w:color="auto"/>
            <w:bottom w:val="none" w:sz="0" w:space="0" w:color="auto"/>
            <w:right w:val="none" w:sz="0" w:space="0" w:color="auto"/>
          </w:divBdr>
          <w:divsChild>
            <w:div w:id="529496493">
              <w:marLeft w:val="0"/>
              <w:marRight w:val="0"/>
              <w:marTop w:val="0"/>
              <w:marBottom w:val="0"/>
              <w:divBdr>
                <w:top w:val="none" w:sz="0" w:space="0" w:color="auto"/>
                <w:left w:val="none" w:sz="0" w:space="0" w:color="auto"/>
                <w:bottom w:val="none" w:sz="0" w:space="0" w:color="auto"/>
                <w:right w:val="none" w:sz="0" w:space="0" w:color="auto"/>
              </w:divBdr>
              <w:divsChild>
                <w:div w:id="1535312006">
                  <w:marLeft w:val="0"/>
                  <w:marRight w:val="0"/>
                  <w:marTop w:val="0"/>
                  <w:marBottom w:val="0"/>
                  <w:divBdr>
                    <w:top w:val="none" w:sz="0" w:space="0" w:color="auto"/>
                    <w:left w:val="none" w:sz="0" w:space="0" w:color="auto"/>
                    <w:bottom w:val="none" w:sz="0" w:space="0" w:color="auto"/>
                    <w:right w:val="none" w:sz="0" w:space="0" w:color="auto"/>
                  </w:divBdr>
                  <w:divsChild>
                    <w:div w:id="1177623333">
                      <w:marLeft w:val="0"/>
                      <w:marRight w:val="0"/>
                      <w:marTop w:val="0"/>
                      <w:marBottom w:val="300"/>
                      <w:divBdr>
                        <w:top w:val="none" w:sz="0" w:space="0" w:color="auto"/>
                        <w:left w:val="none" w:sz="0" w:space="0" w:color="auto"/>
                        <w:bottom w:val="none" w:sz="0" w:space="0" w:color="auto"/>
                        <w:right w:val="none" w:sz="0" w:space="0" w:color="auto"/>
                      </w:divBdr>
                      <w:divsChild>
                        <w:div w:id="1817066252">
                          <w:marLeft w:val="0"/>
                          <w:marRight w:val="0"/>
                          <w:marTop w:val="0"/>
                          <w:marBottom w:val="0"/>
                          <w:divBdr>
                            <w:top w:val="none" w:sz="0" w:space="0" w:color="auto"/>
                            <w:left w:val="none" w:sz="0" w:space="0" w:color="auto"/>
                            <w:bottom w:val="none" w:sz="0" w:space="0" w:color="auto"/>
                            <w:right w:val="none" w:sz="0" w:space="0" w:color="auto"/>
                          </w:divBdr>
                          <w:divsChild>
                            <w:div w:id="549847510">
                              <w:marLeft w:val="0"/>
                              <w:marRight w:val="0"/>
                              <w:marTop w:val="0"/>
                              <w:marBottom w:val="0"/>
                              <w:divBdr>
                                <w:top w:val="none" w:sz="0" w:space="0" w:color="auto"/>
                                <w:left w:val="none" w:sz="0" w:space="0" w:color="auto"/>
                                <w:bottom w:val="none" w:sz="0" w:space="0" w:color="auto"/>
                                <w:right w:val="none" w:sz="0" w:space="0" w:color="auto"/>
                              </w:divBdr>
                              <w:divsChild>
                                <w:div w:id="484665649">
                                  <w:marLeft w:val="0"/>
                                  <w:marRight w:val="0"/>
                                  <w:marTop w:val="0"/>
                                  <w:marBottom w:val="0"/>
                                  <w:divBdr>
                                    <w:top w:val="none" w:sz="0" w:space="0" w:color="auto"/>
                                    <w:left w:val="none" w:sz="0" w:space="0" w:color="auto"/>
                                    <w:bottom w:val="none" w:sz="0" w:space="0" w:color="auto"/>
                                    <w:right w:val="none" w:sz="0" w:space="0" w:color="auto"/>
                                  </w:divBdr>
                                  <w:divsChild>
                                    <w:div w:id="2015913132">
                                      <w:marLeft w:val="0"/>
                                      <w:marRight w:val="0"/>
                                      <w:marTop w:val="360"/>
                                      <w:marBottom w:val="480"/>
                                      <w:divBdr>
                                        <w:top w:val="none" w:sz="0" w:space="0" w:color="auto"/>
                                        <w:left w:val="none" w:sz="0" w:space="0" w:color="auto"/>
                                        <w:bottom w:val="none" w:sz="0" w:space="0" w:color="auto"/>
                                        <w:right w:val="none" w:sz="0" w:space="0" w:color="auto"/>
                                      </w:divBdr>
                                      <w:divsChild>
                                        <w:div w:id="1969892415">
                                          <w:marLeft w:val="0"/>
                                          <w:marRight w:val="0"/>
                                          <w:marTop w:val="240"/>
                                          <w:marBottom w:val="0"/>
                                          <w:divBdr>
                                            <w:top w:val="none" w:sz="0" w:space="0" w:color="auto"/>
                                            <w:left w:val="none" w:sz="0" w:space="0" w:color="auto"/>
                                            <w:bottom w:val="none" w:sz="0" w:space="0" w:color="auto"/>
                                            <w:right w:val="none" w:sz="0" w:space="0" w:color="auto"/>
                                          </w:divBdr>
                                        </w:div>
                                      </w:divsChild>
                                    </w:div>
                                    <w:div w:id="832180282">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539916">
      <w:bodyDiv w:val="1"/>
      <w:marLeft w:val="0"/>
      <w:marRight w:val="0"/>
      <w:marTop w:val="0"/>
      <w:marBottom w:val="0"/>
      <w:divBdr>
        <w:top w:val="none" w:sz="0" w:space="0" w:color="auto"/>
        <w:left w:val="none" w:sz="0" w:space="0" w:color="auto"/>
        <w:bottom w:val="none" w:sz="0" w:space="0" w:color="auto"/>
        <w:right w:val="none" w:sz="0" w:space="0" w:color="auto"/>
      </w:divBdr>
      <w:divsChild>
        <w:div w:id="1609388343">
          <w:marLeft w:val="0"/>
          <w:marRight w:val="0"/>
          <w:marTop w:val="0"/>
          <w:marBottom w:val="0"/>
          <w:divBdr>
            <w:top w:val="none" w:sz="0" w:space="0" w:color="auto"/>
            <w:left w:val="none" w:sz="0" w:space="0" w:color="auto"/>
            <w:bottom w:val="none" w:sz="0" w:space="0" w:color="auto"/>
            <w:right w:val="none" w:sz="0" w:space="0" w:color="auto"/>
          </w:divBdr>
          <w:divsChild>
            <w:div w:id="1770587682">
              <w:marLeft w:val="0"/>
              <w:marRight w:val="0"/>
              <w:marTop w:val="0"/>
              <w:marBottom w:val="0"/>
              <w:divBdr>
                <w:top w:val="none" w:sz="0" w:space="0" w:color="auto"/>
                <w:left w:val="none" w:sz="0" w:space="0" w:color="auto"/>
                <w:bottom w:val="none" w:sz="0" w:space="0" w:color="auto"/>
                <w:right w:val="none" w:sz="0" w:space="0" w:color="auto"/>
              </w:divBdr>
              <w:divsChild>
                <w:div w:id="549802773">
                  <w:marLeft w:val="0"/>
                  <w:marRight w:val="0"/>
                  <w:marTop w:val="0"/>
                  <w:marBottom w:val="0"/>
                  <w:divBdr>
                    <w:top w:val="none" w:sz="0" w:space="0" w:color="auto"/>
                    <w:left w:val="none" w:sz="0" w:space="0" w:color="auto"/>
                    <w:bottom w:val="none" w:sz="0" w:space="0" w:color="auto"/>
                    <w:right w:val="none" w:sz="0" w:space="0" w:color="auto"/>
                  </w:divBdr>
                  <w:divsChild>
                    <w:div w:id="2144233073">
                      <w:marLeft w:val="0"/>
                      <w:marRight w:val="0"/>
                      <w:marTop w:val="0"/>
                      <w:marBottom w:val="300"/>
                      <w:divBdr>
                        <w:top w:val="none" w:sz="0" w:space="0" w:color="auto"/>
                        <w:left w:val="none" w:sz="0" w:space="0" w:color="auto"/>
                        <w:bottom w:val="none" w:sz="0" w:space="0" w:color="auto"/>
                        <w:right w:val="none" w:sz="0" w:space="0" w:color="auto"/>
                      </w:divBdr>
                      <w:divsChild>
                        <w:div w:id="395394846">
                          <w:marLeft w:val="0"/>
                          <w:marRight w:val="0"/>
                          <w:marTop w:val="0"/>
                          <w:marBottom w:val="0"/>
                          <w:divBdr>
                            <w:top w:val="none" w:sz="0" w:space="0" w:color="auto"/>
                            <w:left w:val="none" w:sz="0" w:space="0" w:color="auto"/>
                            <w:bottom w:val="none" w:sz="0" w:space="0" w:color="auto"/>
                            <w:right w:val="none" w:sz="0" w:space="0" w:color="auto"/>
                          </w:divBdr>
                          <w:divsChild>
                            <w:div w:id="978924411">
                              <w:marLeft w:val="0"/>
                              <w:marRight w:val="0"/>
                              <w:marTop w:val="0"/>
                              <w:marBottom w:val="0"/>
                              <w:divBdr>
                                <w:top w:val="none" w:sz="0" w:space="0" w:color="auto"/>
                                <w:left w:val="none" w:sz="0" w:space="0" w:color="auto"/>
                                <w:bottom w:val="none" w:sz="0" w:space="0" w:color="auto"/>
                                <w:right w:val="none" w:sz="0" w:space="0" w:color="auto"/>
                              </w:divBdr>
                              <w:divsChild>
                                <w:div w:id="4034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828924">
      <w:bodyDiv w:val="1"/>
      <w:marLeft w:val="0"/>
      <w:marRight w:val="0"/>
      <w:marTop w:val="0"/>
      <w:marBottom w:val="0"/>
      <w:divBdr>
        <w:top w:val="none" w:sz="0" w:space="0" w:color="auto"/>
        <w:left w:val="none" w:sz="0" w:space="0" w:color="auto"/>
        <w:bottom w:val="none" w:sz="0" w:space="0" w:color="auto"/>
        <w:right w:val="none" w:sz="0" w:space="0" w:color="auto"/>
      </w:divBdr>
      <w:divsChild>
        <w:div w:id="1090615144">
          <w:marLeft w:val="0"/>
          <w:marRight w:val="0"/>
          <w:marTop w:val="0"/>
          <w:marBottom w:val="0"/>
          <w:divBdr>
            <w:top w:val="none" w:sz="0" w:space="0" w:color="auto"/>
            <w:left w:val="none" w:sz="0" w:space="0" w:color="auto"/>
            <w:bottom w:val="none" w:sz="0" w:space="0" w:color="auto"/>
            <w:right w:val="none" w:sz="0" w:space="0" w:color="auto"/>
          </w:divBdr>
          <w:divsChild>
            <w:div w:id="19151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8389">
      <w:bodyDiv w:val="1"/>
      <w:marLeft w:val="0"/>
      <w:marRight w:val="0"/>
      <w:marTop w:val="0"/>
      <w:marBottom w:val="0"/>
      <w:divBdr>
        <w:top w:val="none" w:sz="0" w:space="0" w:color="auto"/>
        <w:left w:val="none" w:sz="0" w:space="0" w:color="auto"/>
        <w:bottom w:val="none" w:sz="0" w:space="0" w:color="auto"/>
        <w:right w:val="none" w:sz="0" w:space="0" w:color="auto"/>
      </w:divBdr>
      <w:divsChild>
        <w:div w:id="2006132008">
          <w:marLeft w:val="0"/>
          <w:marRight w:val="0"/>
          <w:marTop w:val="0"/>
          <w:marBottom w:val="0"/>
          <w:divBdr>
            <w:top w:val="none" w:sz="0" w:space="0" w:color="auto"/>
            <w:left w:val="none" w:sz="0" w:space="0" w:color="auto"/>
            <w:bottom w:val="none" w:sz="0" w:space="0" w:color="auto"/>
            <w:right w:val="none" w:sz="0" w:space="0" w:color="auto"/>
          </w:divBdr>
          <w:divsChild>
            <w:div w:id="19656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2000000/000511780.pdf" TargetMode="External"/><Relationship Id="rId3" Type="http://schemas.openxmlformats.org/officeDocument/2006/relationships/settings" Target="settings.xml"/><Relationship Id="rId7" Type="http://schemas.openxmlformats.org/officeDocument/2006/relationships/hyperlink" Target="https://mf.jiho.jp/sites/default/files/mf/document/2019/06/%E7%AC%AC78%E5%9B%9E%E7%A4%BE%E4%BC%9A%E4%BF%9D%E9%9A%9C%E5%AF%A9%E8%AD%B0%E4%BC%9A%E4%BB%8B%E8%AD%B7%E4%BF%9D%E9%99%BA%E9%83%A8%E4%BC%9A-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1205</Words>
  <Characters>6869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2022-01-16T10:48:00Z</cp:lastPrinted>
  <dcterms:created xsi:type="dcterms:W3CDTF">2022-01-16T11:13:00Z</dcterms:created>
  <dcterms:modified xsi:type="dcterms:W3CDTF">2022-01-20T22:37:00Z</dcterms:modified>
</cp:coreProperties>
</file>